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30702">
      <w:pPr>
        <w:pBdr>
          <w:bottom w:val="single" w:color="auto" w:sz="4" w:space="1"/>
        </w:pBdr>
        <w:autoSpaceDE w:val="0"/>
        <w:autoSpaceDN w:val="0"/>
        <w:spacing w:line="360" w:lineRule="auto"/>
        <w:jc w:val="center"/>
        <w:rPr>
          <w:rFonts w:ascii="Times New Roman" w:hAnsi="Times New Roman"/>
          <w:b/>
          <w:bCs/>
          <w:kern w:val="0"/>
          <w:sz w:val="32"/>
          <w:szCs w:val="32"/>
        </w:rPr>
      </w:pPr>
      <w:bookmarkStart w:id="71" w:name="_GoBack"/>
      <w:bookmarkEnd w:id="71"/>
      <w:r>
        <w:rPr>
          <w:rFonts w:hint="eastAsia" w:ascii="Times New Roman" w:hAnsi="宋体"/>
          <w:b/>
          <w:bCs/>
          <w:kern w:val="0"/>
          <w:sz w:val="32"/>
          <w:szCs w:val="32"/>
        </w:rPr>
        <w:t>行业及</w:t>
      </w:r>
      <w:r>
        <w:rPr>
          <w:rFonts w:ascii="Times New Roman" w:hAnsi="Times New Roman"/>
          <w:b/>
          <w:bCs/>
          <w:kern w:val="0"/>
          <w:sz w:val="32"/>
          <w:szCs w:val="32"/>
        </w:rPr>
        <w:t>FDA</w:t>
      </w:r>
      <w:r>
        <w:rPr>
          <w:rFonts w:hint="eastAsia" w:ascii="Times New Roman" w:hAnsi="宋体"/>
          <w:b/>
          <w:bCs/>
          <w:kern w:val="0"/>
          <w:sz w:val="32"/>
          <w:szCs w:val="32"/>
        </w:rPr>
        <w:t>工作人员指南</w:t>
      </w:r>
    </w:p>
    <w:p w14:paraId="75C616FD">
      <w:pPr>
        <w:spacing w:line="360" w:lineRule="auto"/>
        <w:jc w:val="center"/>
        <w:rPr>
          <w:rFonts w:ascii="Times New Roman" w:hAnsi="Times New Roman"/>
          <w:sz w:val="32"/>
          <w:szCs w:val="32"/>
        </w:rPr>
      </w:pPr>
      <w:r>
        <w:rPr>
          <w:rFonts w:hint="eastAsia" w:ascii="Times New Roman" w:hAnsi="宋体"/>
          <w:b/>
          <w:bCs/>
          <w:sz w:val="32"/>
          <w:szCs w:val="32"/>
        </w:rPr>
        <w:t>化学指示剂上市前通知</w:t>
      </w:r>
      <w:r>
        <w:rPr>
          <w:rFonts w:ascii="Times New Roman" w:hAnsi="Times New Roman"/>
          <w:b/>
          <w:bCs/>
          <w:sz w:val="32"/>
          <w:szCs w:val="32"/>
        </w:rPr>
        <w:t>[510(k)]</w:t>
      </w:r>
      <w:r>
        <w:rPr>
          <w:rFonts w:hint="eastAsia" w:ascii="Times New Roman" w:hAnsi="宋体"/>
          <w:b/>
          <w:bCs/>
          <w:sz w:val="32"/>
          <w:szCs w:val="32"/>
        </w:rPr>
        <w:t>提交</w:t>
      </w:r>
    </w:p>
    <w:p w14:paraId="0A6991D1">
      <w:pPr>
        <w:tabs>
          <w:tab w:val="left" w:pos="426"/>
        </w:tabs>
        <w:kinsoku w:val="0"/>
        <w:overflowPunct w:val="0"/>
        <w:autoSpaceDE w:val="0"/>
        <w:autoSpaceDN w:val="0"/>
        <w:spacing w:beforeLines="300" w:line="360" w:lineRule="auto"/>
        <w:jc w:val="center"/>
        <w:rPr>
          <w:rFonts w:ascii="Times New Roman" w:hAnsi="Times New Roman"/>
          <w:kern w:val="0"/>
          <w:szCs w:val="21"/>
        </w:rPr>
      </w:pPr>
      <w:r>
        <w:rPr>
          <w:rFonts w:hint="eastAsia" w:ascii="Times New Roman" w:hAnsi="宋体"/>
          <w:b/>
          <w:bCs/>
          <w:szCs w:val="21"/>
        </w:rPr>
        <w:t>文件发布日期：</w:t>
      </w:r>
      <w:r>
        <w:rPr>
          <w:rFonts w:ascii="Times New Roman" w:hAnsi="Times New Roman"/>
          <w:b/>
          <w:bCs/>
          <w:kern w:val="0"/>
          <w:szCs w:val="21"/>
        </w:rPr>
        <w:t>2003</w:t>
      </w:r>
      <w:r>
        <w:rPr>
          <w:rFonts w:hint="eastAsia" w:ascii="Times New Roman" w:hAnsi="宋体"/>
          <w:b/>
          <w:bCs/>
          <w:kern w:val="0"/>
          <w:szCs w:val="21"/>
        </w:rPr>
        <w:t>年</w:t>
      </w:r>
      <w:r>
        <w:rPr>
          <w:rFonts w:ascii="Times New Roman" w:hAnsi="Times New Roman"/>
          <w:b/>
          <w:bCs/>
          <w:kern w:val="0"/>
          <w:szCs w:val="21"/>
        </w:rPr>
        <w:t>12</w:t>
      </w:r>
      <w:r>
        <w:rPr>
          <w:rFonts w:hint="eastAsia" w:ascii="Times New Roman" w:hAnsi="宋体"/>
          <w:b/>
          <w:bCs/>
          <w:kern w:val="0"/>
          <w:szCs w:val="21"/>
        </w:rPr>
        <w:t>月</w:t>
      </w:r>
      <w:r>
        <w:rPr>
          <w:rFonts w:ascii="Times New Roman" w:hAnsi="Times New Roman"/>
          <w:b/>
          <w:bCs/>
          <w:kern w:val="0"/>
          <w:szCs w:val="21"/>
        </w:rPr>
        <w:t>19</w:t>
      </w:r>
      <w:r>
        <w:rPr>
          <w:rFonts w:hint="eastAsia" w:ascii="Times New Roman" w:hAnsi="宋体"/>
          <w:b/>
          <w:bCs/>
          <w:kern w:val="0"/>
          <w:szCs w:val="21"/>
        </w:rPr>
        <w:t>日</w:t>
      </w:r>
    </w:p>
    <w:p w14:paraId="166D588A">
      <w:pPr>
        <w:spacing w:beforeLines="300" w:line="360" w:lineRule="auto"/>
        <w:jc w:val="center"/>
        <w:rPr>
          <w:rFonts w:ascii="Times New Roman" w:hAnsi="Times New Roman"/>
          <w:b/>
          <w:szCs w:val="21"/>
        </w:rPr>
      </w:pPr>
      <w:r>
        <w:rPr>
          <w:rFonts w:hint="eastAsia" w:ascii="Times New Roman" w:hAnsi="宋体"/>
          <w:b/>
          <w:szCs w:val="21"/>
        </w:rPr>
        <w:t>本文件草案于</w:t>
      </w:r>
      <w:r>
        <w:rPr>
          <w:rFonts w:ascii="Times New Roman" w:hAnsi="Times New Roman"/>
          <w:b/>
          <w:szCs w:val="21"/>
        </w:rPr>
        <w:t>2003</w:t>
      </w:r>
      <w:r>
        <w:rPr>
          <w:rFonts w:hint="eastAsia" w:ascii="Times New Roman" w:hAnsi="宋体"/>
          <w:b/>
          <w:szCs w:val="21"/>
        </w:rPr>
        <w:t>年</w:t>
      </w:r>
      <w:r>
        <w:rPr>
          <w:rFonts w:ascii="Times New Roman" w:hAnsi="Times New Roman"/>
          <w:b/>
          <w:szCs w:val="21"/>
        </w:rPr>
        <w:t>1</w:t>
      </w:r>
      <w:r>
        <w:rPr>
          <w:rFonts w:hint="eastAsia" w:ascii="Times New Roman" w:hAnsi="宋体"/>
          <w:b/>
          <w:szCs w:val="21"/>
        </w:rPr>
        <w:t>月</w:t>
      </w:r>
      <w:r>
        <w:rPr>
          <w:rFonts w:ascii="Times New Roman" w:hAnsi="Times New Roman"/>
          <w:b/>
          <w:szCs w:val="21"/>
        </w:rPr>
        <w:t>27</w:t>
      </w:r>
      <w:r>
        <w:rPr>
          <w:rFonts w:hint="eastAsia" w:ascii="Times New Roman" w:hAnsi="宋体"/>
          <w:b/>
          <w:szCs w:val="21"/>
        </w:rPr>
        <w:t>日发布。</w:t>
      </w:r>
    </w:p>
    <w:p w14:paraId="2D976912">
      <w:pPr>
        <w:tabs>
          <w:tab w:val="left" w:pos="426"/>
        </w:tabs>
        <w:kinsoku w:val="0"/>
        <w:overflowPunct w:val="0"/>
        <w:autoSpaceDE w:val="0"/>
        <w:autoSpaceDN w:val="0"/>
        <w:spacing w:before="240" w:afterLines="50" w:line="360" w:lineRule="auto"/>
        <w:rPr>
          <w:rFonts w:ascii="Times New Roman" w:hAnsi="Times New Roman"/>
          <w:kern w:val="0"/>
          <w:szCs w:val="21"/>
        </w:rPr>
      </w:pPr>
      <w:r>
        <w:rPr>
          <w:rFonts w:hint="eastAsia" w:ascii="Times New Roman" w:hAnsi="宋体"/>
          <w:szCs w:val="21"/>
        </w:rPr>
        <w:t>有关本文件的问题，</w:t>
      </w:r>
      <w:bookmarkStart w:id="0" w:name="_Hlk495311404"/>
      <w:r>
        <w:rPr>
          <w:rFonts w:hint="eastAsia" w:ascii="Times New Roman" w:hAnsi="宋体"/>
          <w:szCs w:val="21"/>
        </w:rPr>
        <w:t>通过电话</w:t>
      </w:r>
      <w:r>
        <w:rPr>
          <w:rFonts w:ascii="Times New Roman" w:hAnsi="Times New Roman"/>
          <w:kern w:val="0"/>
          <w:szCs w:val="21"/>
        </w:rPr>
        <w:t>240-276-3700</w:t>
      </w:r>
      <w:r>
        <w:rPr>
          <w:rFonts w:hint="eastAsia" w:ascii="Times New Roman" w:hAnsi="宋体"/>
          <w:szCs w:val="21"/>
        </w:rPr>
        <w:t>与</w:t>
      </w:r>
      <w:r>
        <w:rPr>
          <w:rFonts w:ascii="Times New Roman" w:hAnsi="Times New Roman"/>
          <w:kern w:val="0"/>
          <w:szCs w:val="21"/>
        </w:rPr>
        <w:t>Chiu Lin, Ph.D.</w:t>
      </w:r>
      <w:r>
        <w:rPr>
          <w:rFonts w:hint="eastAsia" w:ascii="Times New Roman" w:hAnsi="宋体"/>
          <w:szCs w:val="21"/>
        </w:rPr>
        <w:t>取得联系。</w:t>
      </w:r>
      <w:bookmarkEnd w:id="0"/>
    </w:p>
    <w:p w14:paraId="47F30AC1">
      <w:pPr>
        <w:tabs>
          <w:tab w:val="left" w:pos="426"/>
        </w:tabs>
        <w:kinsoku w:val="0"/>
        <w:overflowPunct w:val="0"/>
        <w:autoSpaceDE w:val="0"/>
        <w:autoSpaceDN w:val="0"/>
        <w:spacing w:afterLines="50" w:line="360" w:lineRule="auto"/>
        <w:rPr>
          <w:rFonts w:ascii="Times New Roman" w:hAnsi="Times New Roman"/>
          <w:kern w:val="0"/>
          <w:szCs w:val="21"/>
        </w:rPr>
      </w:pPr>
      <w:r>
        <w:rPr>
          <w:rFonts w:ascii="Times New Roman" w:hAnsi="Times New Roman"/>
          <w:kern w:val="0"/>
          <w:szCs w:val="21"/>
        </w:rPr>
        <w:pict>
          <v:shape id="_x0000_i1025" o:spt="75" type="#_x0000_t75" style="height:51pt;width:67.5pt;" filled="f" o:preferrelative="t" stroked="f" coordsize="21600,21600">
            <v:path/>
            <v:fill on="f" focussize="0,0"/>
            <v:stroke on="f" joinstyle="miter"/>
            <v:imagedata r:id="rId7" o:title=""/>
            <o:lock v:ext="edit" aspectratio="t"/>
            <w10:wrap type="none"/>
            <w10:anchorlock/>
          </v:shape>
        </w:pict>
      </w:r>
    </w:p>
    <w:p w14:paraId="075A53FE">
      <w:pPr>
        <w:tabs>
          <w:tab w:val="left" w:pos="426"/>
        </w:tabs>
        <w:kinsoku w:val="0"/>
        <w:overflowPunct w:val="0"/>
        <w:autoSpaceDE w:val="0"/>
        <w:autoSpaceDN w:val="0"/>
        <w:spacing w:line="360" w:lineRule="auto"/>
        <w:jc w:val="right"/>
        <w:rPr>
          <w:rFonts w:ascii="Times New Roman" w:hAnsi="Times New Roman"/>
          <w:b/>
          <w:bCs/>
          <w:kern w:val="0"/>
          <w:szCs w:val="21"/>
        </w:rPr>
      </w:pPr>
      <w:r>
        <w:rPr>
          <w:rFonts w:hint="eastAsia" w:ascii="Times New Roman" w:hAnsi="宋体"/>
          <w:b/>
          <w:bCs/>
          <w:kern w:val="0"/>
          <w:szCs w:val="21"/>
        </w:rPr>
        <w:t>美国卫生和公众服务部</w:t>
      </w:r>
    </w:p>
    <w:p w14:paraId="3B3E91A4">
      <w:pPr>
        <w:tabs>
          <w:tab w:val="left" w:pos="426"/>
        </w:tabs>
        <w:kinsoku w:val="0"/>
        <w:overflowPunct w:val="0"/>
        <w:autoSpaceDE w:val="0"/>
        <w:autoSpaceDN w:val="0"/>
        <w:spacing w:line="360" w:lineRule="auto"/>
        <w:jc w:val="right"/>
        <w:rPr>
          <w:rFonts w:ascii="Times New Roman" w:hAnsi="Times New Roman"/>
          <w:b/>
          <w:bCs/>
          <w:kern w:val="0"/>
          <w:szCs w:val="21"/>
        </w:rPr>
      </w:pPr>
      <w:r>
        <w:rPr>
          <w:rFonts w:hint="eastAsia" w:ascii="Times New Roman" w:hAnsi="宋体"/>
          <w:b/>
          <w:bCs/>
          <w:kern w:val="0"/>
          <w:szCs w:val="21"/>
        </w:rPr>
        <w:t>美国食品药品管理局</w:t>
      </w:r>
    </w:p>
    <w:p w14:paraId="700A8C81">
      <w:pPr>
        <w:tabs>
          <w:tab w:val="left" w:pos="426"/>
        </w:tabs>
        <w:kinsoku w:val="0"/>
        <w:overflowPunct w:val="0"/>
        <w:autoSpaceDE w:val="0"/>
        <w:autoSpaceDN w:val="0"/>
        <w:spacing w:line="360" w:lineRule="auto"/>
        <w:jc w:val="right"/>
        <w:rPr>
          <w:rFonts w:ascii="Times New Roman" w:hAnsi="Times New Roman"/>
          <w:kern w:val="0"/>
          <w:szCs w:val="21"/>
        </w:rPr>
      </w:pPr>
      <w:r>
        <w:rPr>
          <w:rFonts w:hint="eastAsia" w:ascii="Times New Roman" w:hAnsi="宋体"/>
          <w:b/>
          <w:bCs/>
          <w:kern w:val="0"/>
          <w:szCs w:val="21"/>
        </w:rPr>
        <w:t>器械与放射卫生中心</w:t>
      </w:r>
    </w:p>
    <w:p w14:paraId="6513A361">
      <w:pPr>
        <w:tabs>
          <w:tab w:val="left" w:pos="426"/>
        </w:tabs>
        <w:kinsoku w:val="0"/>
        <w:overflowPunct w:val="0"/>
        <w:autoSpaceDE w:val="0"/>
        <w:autoSpaceDN w:val="0"/>
        <w:spacing w:line="360" w:lineRule="auto"/>
        <w:jc w:val="right"/>
        <w:rPr>
          <w:rFonts w:ascii="Times New Roman" w:hAnsi="Times New Roman"/>
          <w:kern w:val="0"/>
          <w:szCs w:val="21"/>
        </w:rPr>
      </w:pPr>
    </w:p>
    <w:p w14:paraId="1C117D24">
      <w:pPr>
        <w:spacing w:line="360" w:lineRule="auto"/>
        <w:jc w:val="right"/>
        <w:rPr>
          <w:rFonts w:ascii="Times New Roman" w:hAnsi="Times New Roman"/>
          <w:b/>
          <w:bCs/>
          <w:szCs w:val="21"/>
        </w:rPr>
      </w:pPr>
      <w:r>
        <w:rPr>
          <w:rFonts w:hint="eastAsia" w:ascii="Times New Roman" w:hAnsi="宋体"/>
          <w:b/>
          <w:bCs/>
          <w:szCs w:val="21"/>
        </w:rPr>
        <w:t>感染控制器械分部</w:t>
      </w:r>
    </w:p>
    <w:p w14:paraId="7A2AF214">
      <w:pPr>
        <w:spacing w:line="360" w:lineRule="auto"/>
        <w:jc w:val="right"/>
        <w:rPr>
          <w:rFonts w:ascii="Times New Roman" w:hAnsi="Times New Roman"/>
          <w:szCs w:val="21"/>
        </w:rPr>
      </w:pPr>
      <w:r>
        <w:rPr>
          <w:rFonts w:hint="eastAsia" w:ascii="Times New Roman" w:hAnsi="宋体"/>
          <w:b/>
          <w:bCs/>
          <w:szCs w:val="21"/>
        </w:rPr>
        <w:t>麻醉学、综合医院、感染控制和牙科器械部门</w:t>
      </w:r>
    </w:p>
    <w:p w14:paraId="44FA8FEA">
      <w:pPr>
        <w:tabs>
          <w:tab w:val="left" w:pos="426"/>
        </w:tabs>
        <w:kinsoku w:val="0"/>
        <w:overflowPunct w:val="0"/>
        <w:autoSpaceDE w:val="0"/>
        <w:autoSpaceDN w:val="0"/>
        <w:spacing w:line="360" w:lineRule="auto"/>
        <w:jc w:val="right"/>
        <w:rPr>
          <w:rFonts w:ascii="Times New Roman" w:hAnsi="Times New Roman"/>
          <w:kern w:val="0"/>
          <w:szCs w:val="21"/>
        </w:rPr>
      </w:pPr>
      <w:r>
        <w:rPr>
          <w:rFonts w:hint="eastAsia" w:ascii="Times New Roman" w:hAnsi="宋体"/>
          <w:b/>
          <w:bCs/>
          <w:szCs w:val="21"/>
        </w:rPr>
        <w:t>器械评价办公室</w:t>
      </w:r>
    </w:p>
    <w:p w14:paraId="184BEB6D">
      <w:pPr>
        <w:widowControl/>
        <w:spacing w:line="360" w:lineRule="auto"/>
        <w:jc w:val="left"/>
        <w:rPr>
          <w:rFonts w:ascii="Times New Roman" w:hAnsi="Times New Roman"/>
          <w:b/>
          <w:bCs/>
          <w:szCs w:val="21"/>
        </w:rPr>
      </w:pPr>
    </w:p>
    <w:p w14:paraId="57A72AEE">
      <w:pPr>
        <w:widowControl/>
        <w:spacing w:line="360" w:lineRule="auto"/>
        <w:jc w:val="left"/>
        <w:rPr>
          <w:rFonts w:ascii="Times New Roman" w:hAnsi="Times New Roman"/>
          <w:b/>
          <w:bCs/>
          <w:szCs w:val="21"/>
        </w:rPr>
        <w:sectPr>
          <w:headerReference r:id="rId4" w:type="default"/>
          <w:pgSz w:w="11906" w:h="16838"/>
          <w:pgMar w:top="1440" w:right="1800" w:bottom="1440" w:left="1800" w:header="851" w:footer="992" w:gutter="0"/>
          <w:cols w:space="425" w:num="1"/>
          <w:docGrid w:type="lines" w:linePitch="312" w:charSpace="0"/>
        </w:sectPr>
      </w:pPr>
    </w:p>
    <w:p w14:paraId="0DC9542B">
      <w:pPr>
        <w:spacing w:before="240" w:line="360" w:lineRule="auto"/>
        <w:jc w:val="center"/>
        <w:rPr>
          <w:rFonts w:ascii="Times New Roman" w:hAnsi="Times New Roman"/>
          <w:b/>
          <w:sz w:val="28"/>
          <w:szCs w:val="28"/>
        </w:rPr>
      </w:pPr>
      <w:r>
        <w:rPr>
          <w:rFonts w:hint="eastAsia" w:ascii="Times New Roman" w:hAnsi="宋体"/>
          <w:b/>
          <w:sz w:val="28"/>
          <w:szCs w:val="28"/>
        </w:rPr>
        <w:t>前言</w:t>
      </w:r>
    </w:p>
    <w:p w14:paraId="347A2C93">
      <w:pPr>
        <w:autoSpaceDE w:val="0"/>
        <w:autoSpaceDN w:val="0"/>
        <w:spacing w:before="240" w:line="360" w:lineRule="auto"/>
        <w:rPr>
          <w:rFonts w:ascii="Times New Roman" w:hAnsi="Times New Roman"/>
          <w:kern w:val="0"/>
          <w:sz w:val="24"/>
          <w:szCs w:val="24"/>
        </w:rPr>
      </w:pPr>
      <w:r>
        <w:rPr>
          <w:rFonts w:hint="eastAsia" w:ascii="Times New Roman" w:hAnsi="宋体"/>
          <w:b/>
          <w:bCs/>
          <w:kern w:val="0"/>
          <w:sz w:val="24"/>
          <w:szCs w:val="24"/>
        </w:rPr>
        <w:t>公众意见</w:t>
      </w:r>
    </w:p>
    <w:p w14:paraId="59931956">
      <w:pPr>
        <w:spacing w:before="240" w:line="360" w:lineRule="auto"/>
        <w:rPr>
          <w:rFonts w:ascii="Times New Roman" w:hAnsi="Times New Roman"/>
          <w:b/>
          <w:bCs/>
          <w:szCs w:val="21"/>
        </w:rPr>
      </w:pPr>
      <w:r>
        <w:rPr>
          <w:rFonts w:hint="eastAsia" w:ascii="Times New Roman" w:hAnsi="宋体"/>
          <w:kern w:val="0"/>
          <w:szCs w:val="21"/>
        </w:rPr>
        <w:t>可随时向</w:t>
      </w:r>
      <w:bookmarkStart w:id="1" w:name="_Hlk495325065"/>
      <w:r>
        <w:rPr>
          <w:rFonts w:hint="eastAsia" w:ascii="Times New Roman" w:hAnsi="宋体"/>
          <w:kern w:val="0"/>
          <w:szCs w:val="21"/>
        </w:rPr>
        <w:t>美国食品药品管理局人力资源和管理服务办公室管理系统和政策部文档管理分部（地址：</w:t>
      </w:r>
      <w:r>
        <w:rPr>
          <w:rFonts w:ascii="Times New Roman" w:hAnsi="Times New Roman"/>
          <w:kern w:val="0"/>
          <w:szCs w:val="21"/>
        </w:rPr>
        <w:t>5630 Fishers Lane, Room 1061, (HFA-305), Rockville, MD, 20852</w:t>
      </w:r>
      <w:r>
        <w:rPr>
          <w:rFonts w:hint="eastAsia" w:ascii="Times New Roman" w:hAnsi="宋体"/>
          <w:kern w:val="0"/>
          <w:szCs w:val="21"/>
        </w:rPr>
        <w:t>）</w:t>
      </w:r>
      <w:bookmarkEnd w:id="1"/>
      <w:r>
        <w:rPr>
          <w:rFonts w:hint="eastAsia" w:ascii="Times New Roman" w:hAnsi="宋体"/>
          <w:kern w:val="0"/>
          <w:szCs w:val="21"/>
        </w:rPr>
        <w:t>提交书面意见和建议，以供管理局考虑。</w:t>
      </w:r>
      <w:r>
        <w:rPr>
          <w:rFonts w:hint="eastAsia" w:ascii="Times New Roman" w:hAnsi="宋体"/>
          <w:szCs w:val="21"/>
        </w:rPr>
        <w:t>或者，将电子版意见提交至</w:t>
      </w:r>
      <w:r>
        <w:fldChar w:fldCharType="begin"/>
      </w:r>
      <w:r>
        <w:instrText xml:space="preserve"> HYPERLINK "http://www.fda.gov/dockets/ecomments" </w:instrText>
      </w:r>
      <w:r>
        <w:fldChar w:fldCharType="separate"/>
      </w:r>
      <w:r>
        <w:rPr>
          <w:rStyle w:val="14"/>
          <w:rFonts w:ascii="Times New Roman" w:hAnsi="Times New Roman"/>
          <w:bCs/>
          <w:szCs w:val="21"/>
        </w:rPr>
        <w:t>http://www.fda.gov/dockets/ecomments</w:t>
      </w:r>
      <w:r>
        <w:rPr>
          <w:rStyle w:val="14"/>
          <w:rFonts w:ascii="Times New Roman" w:hAnsi="Times New Roman"/>
          <w:bCs/>
          <w:szCs w:val="21"/>
        </w:rPr>
        <w:fldChar w:fldCharType="end"/>
      </w:r>
      <w:r>
        <w:rPr>
          <w:rFonts w:hint="eastAsia" w:ascii="Times New Roman" w:hAnsi="宋体"/>
          <w:szCs w:val="21"/>
        </w:rPr>
        <w:t>。</w:t>
      </w:r>
      <w:bookmarkStart w:id="2" w:name="_Hlk495399781"/>
      <w:r>
        <w:rPr>
          <w:rFonts w:hint="eastAsia" w:ascii="Times New Roman" w:hAnsi="宋体"/>
          <w:kern w:val="0"/>
          <w:szCs w:val="21"/>
        </w:rPr>
        <w:t>当提交意见时，请提及文档号</w:t>
      </w:r>
      <w:r>
        <w:rPr>
          <w:rFonts w:ascii="Times New Roman" w:hAnsi="Times New Roman"/>
          <w:kern w:val="0"/>
          <w:szCs w:val="21"/>
        </w:rPr>
        <w:t>02D-0525</w:t>
      </w:r>
      <w:r>
        <w:rPr>
          <w:rFonts w:hint="eastAsia" w:ascii="Times New Roman" w:hAnsi="宋体"/>
          <w:kern w:val="0"/>
          <w:szCs w:val="21"/>
        </w:rPr>
        <w:t>。</w:t>
      </w:r>
      <w:bookmarkEnd w:id="2"/>
      <w:r>
        <w:rPr>
          <w:rFonts w:hint="eastAsia" w:ascii="Times New Roman" w:hAnsi="宋体"/>
          <w:kern w:val="0"/>
          <w:szCs w:val="21"/>
        </w:rPr>
        <w:t>在文件被下次修订或者更新之前，意见可能不被监管机构所采用。</w:t>
      </w:r>
    </w:p>
    <w:p w14:paraId="00EA37B2">
      <w:pPr>
        <w:spacing w:before="240" w:line="360" w:lineRule="auto"/>
        <w:rPr>
          <w:rFonts w:ascii="Times New Roman" w:hAnsi="Times New Roman"/>
          <w:sz w:val="24"/>
          <w:szCs w:val="24"/>
        </w:rPr>
      </w:pPr>
      <w:bookmarkStart w:id="3" w:name="_Toc496720447"/>
      <w:bookmarkStart w:id="4" w:name="_Hlk495399801"/>
      <w:r>
        <w:rPr>
          <w:rFonts w:hint="eastAsia" w:ascii="Times New Roman" w:hAnsi="宋体"/>
          <w:b/>
          <w:bCs/>
          <w:sz w:val="24"/>
          <w:szCs w:val="24"/>
        </w:rPr>
        <w:t>额外副本</w:t>
      </w:r>
      <w:bookmarkEnd w:id="3"/>
    </w:p>
    <w:bookmarkEnd w:id="4"/>
    <w:p w14:paraId="497A118C">
      <w:pPr>
        <w:spacing w:before="240" w:line="360" w:lineRule="auto"/>
        <w:rPr>
          <w:rFonts w:ascii="Times New Roman" w:hAnsi="Times New Roman"/>
          <w:b/>
          <w:bCs/>
          <w:szCs w:val="21"/>
        </w:rPr>
      </w:pPr>
      <w:r>
        <w:rPr>
          <w:rFonts w:hint="eastAsia" w:ascii="Times New Roman" w:hAnsi="宋体"/>
          <w:kern w:val="0"/>
          <w:szCs w:val="21"/>
        </w:rPr>
        <w:t>可通过互联网网址</w:t>
      </w:r>
      <w:r>
        <w:fldChar w:fldCharType="begin"/>
      </w:r>
      <w:r>
        <w:instrText xml:space="preserve"> HYPERLINK "http://www.fda.gov/cdrh/ode/guidance/1420.pdf" </w:instrText>
      </w:r>
      <w:r>
        <w:fldChar w:fldCharType="separate"/>
      </w:r>
      <w:r>
        <w:rPr>
          <w:rFonts w:ascii="Times New Roman" w:hAnsi="Times New Roman"/>
          <w:color w:val="0000FF"/>
          <w:kern w:val="0"/>
          <w:szCs w:val="21"/>
          <w:u w:val="single"/>
        </w:rPr>
        <w:t xml:space="preserve">http://www.fda.gov/cdrh/ode/guidance/1420.pdf </w:t>
      </w:r>
      <w:r>
        <w:rPr>
          <w:rFonts w:ascii="Times New Roman" w:hAnsi="Times New Roman"/>
          <w:color w:val="0000FF"/>
          <w:kern w:val="0"/>
          <w:szCs w:val="21"/>
          <w:u w:val="single"/>
        </w:rPr>
        <w:fldChar w:fldCharType="end"/>
      </w:r>
      <w:r>
        <w:rPr>
          <w:rFonts w:hint="eastAsia" w:ascii="Times New Roman" w:hAnsi="宋体"/>
          <w:kern w:val="0"/>
          <w:szCs w:val="21"/>
        </w:rPr>
        <w:t>获得额外副本或通过传真机接收本文件，请拨打按键电话</w:t>
      </w:r>
      <w:r>
        <w:rPr>
          <w:rFonts w:ascii="Times New Roman" w:hAnsi="Times New Roman"/>
          <w:kern w:val="0"/>
          <w:szCs w:val="21"/>
        </w:rPr>
        <w:t>800-899-0381</w:t>
      </w:r>
      <w:r>
        <w:rPr>
          <w:rFonts w:hint="eastAsia" w:ascii="Times New Roman" w:hAnsi="宋体"/>
          <w:kern w:val="0"/>
          <w:szCs w:val="21"/>
        </w:rPr>
        <w:t>或</w:t>
      </w:r>
      <w:r>
        <w:rPr>
          <w:rFonts w:ascii="Times New Roman" w:hAnsi="Times New Roman"/>
          <w:kern w:val="0"/>
          <w:szCs w:val="21"/>
        </w:rPr>
        <w:t>301-827-0111</w:t>
      </w:r>
      <w:r>
        <w:rPr>
          <w:rFonts w:hint="eastAsia" w:ascii="Times New Roman" w:hAnsi="宋体"/>
          <w:kern w:val="0"/>
          <w:szCs w:val="21"/>
        </w:rPr>
        <w:t>呼叫</w:t>
      </w:r>
      <w:r>
        <w:rPr>
          <w:rFonts w:ascii="Times New Roman" w:hAnsi="Times New Roman"/>
          <w:kern w:val="0"/>
          <w:szCs w:val="21"/>
        </w:rPr>
        <w:t>CDRH Facts-On-Demand</w:t>
      </w:r>
      <w:r>
        <w:rPr>
          <w:rFonts w:hint="eastAsia" w:ascii="Times New Roman" w:hAnsi="宋体"/>
          <w:kern w:val="0"/>
          <w:szCs w:val="21"/>
        </w:rPr>
        <w:t>系统。按</w:t>
      </w:r>
      <w:r>
        <w:rPr>
          <w:rFonts w:ascii="Times New Roman" w:hAnsi="Times New Roman"/>
          <w:kern w:val="0"/>
          <w:szCs w:val="21"/>
        </w:rPr>
        <w:t>1</w:t>
      </w:r>
      <w:r>
        <w:rPr>
          <w:rFonts w:hint="eastAsia" w:ascii="Times New Roman" w:hAnsi="宋体"/>
          <w:kern w:val="0"/>
          <w:szCs w:val="21"/>
        </w:rPr>
        <w:t>进入系统。在第二次语音提示时，按</w:t>
      </w:r>
      <w:r>
        <w:rPr>
          <w:rFonts w:ascii="Times New Roman" w:hAnsi="Times New Roman"/>
          <w:kern w:val="0"/>
          <w:szCs w:val="21"/>
        </w:rPr>
        <w:t>1</w:t>
      </w:r>
      <w:r>
        <w:rPr>
          <w:rFonts w:hint="eastAsia" w:ascii="Times New Roman" w:hAnsi="宋体"/>
          <w:kern w:val="0"/>
          <w:szCs w:val="21"/>
        </w:rPr>
        <w:t>订购文件。输入文件编号（</w:t>
      </w:r>
      <w:r>
        <w:rPr>
          <w:rFonts w:ascii="Times New Roman" w:hAnsi="Times New Roman"/>
          <w:b/>
          <w:kern w:val="0"/>
          <w:szCs w:val="21"/>
        </w:rPr>
        <w:t>1420</w:t>
      </w:r>
      <w:r>
        <w:rPr>
          <w:rFonts w:hint="eastAsia" w:ascii="Times New Roman" w:hAnsi="宋体"/>
          <w:kern w:val="0"/>
          <w:szCs w:val="21"/>
        </w:rPr>
        <w:t>）并按井号键（</w:t>
      </w:r>
      <w:r>
        <w:rPr>
          <w:rFonts w:ascii="Times New Roman" w:hAnsi="Times New Roman"/>
          <w:kern w:val="0"/>
          <w:szCs w:val="21"/>
        </w:rPr>
        <w:t>#</w:t>
      </w:r>
      <w:r>
        <w:rPr>
          <w:rFonts w:hint="eastAsia" w:ascii="Times New Roman" w:hAnsi="宋体"/>
          <w:kern w:val="0"/>
          <w:szCs w:val="21"/>
        </w:rPr>
        <w:t>）确认。按照后面的语音提示完成您的请求。</w:t>
      </w:r>
    </w:p>
    <w:p w14:paraId="094DE8D7">
      <w:pPr>
        <w:spacing w:line="360" w:lineRule="auto"/>
        <w:jc w:val="center"/>
        <w:rPr>
          <w:rFonts w:ascii="Times New Roman" w:hAnsi="Times New Roman"/>
          <w:b/>
          <w:sz w:val="28"/>
          <w:szCs w:val="28"/>
        </w:rPr>
      </w:pPr>
      <w:bookmarkStart w:id="5" w:name="bookmark0"/>
      <w:bookmarkEnd w:id="5"/>
      <w:bookmarkStart w:id="6" w:name="Introduction"/>
      <w:bookmarkEnd w:id="6"/>
      <w:r>
        <w:rPr>
          <w:rFonts w:ascii="Times New Roman" w:hAnsi="Times New Roman"/>
          <w:sz w:val="28"/>
          <w:szCs w:val="28"/>
        </w:rPr>
        <w:br w:type="page"/>
      </w:r>
      <w:r>
        <w:rPr>
          <w:rFonts w:hint="eastAsia" w:ascii="Times New Roman" w:hAnsi="宋体"/>
          <w:b/>
          <w:kern w:val="0"/>
          <w:sz w:val="28"/>
          <w:szCs w:val="28"/>
        </w:rPr>
        <w:t>目录</w:t>
      </w:r>
    </w:p>
    <w:p w14:paraId="4164AE8A">
      <w:pPr>
        <w:pStyle w:val="8"/>
        <w:tabs>
          <w:tab w:val="right" w:leader="dot" w:pos="8296"/>
        </w:tabs>
        <w:spacing w:line="360" w:lineRule="auto"/>
        <w:rPr>
          <w:rFonts w:ascii="Times New Roman" w:hAnsi="Times New Roman"/>
        </w:rPr>
      </w:pPr>
      <w:r>
        <w:rPr>
          <w:rFonts w:ascii="Times New Roman" w:hAnsi="Times New Roman"/>
          <w:bCs/>
          <w:szCs w:val="21"/>
        </w:rPr>
        <w:fldChar w:fldCharType="begin"/>
      </w:r>
      <w:r>
        <w:rPr>
          <w:rFonts w:ascii="Times New Roman" w:hAnsi="Times New Roman"/>
          <w:bCs/>
          <w:szCs w:val="21"/>
        </w:rPr>
        <w:instrText xml:space="preserve"> TOC \o "1-2" \h \z \u </w:instrText>
      </w:r>
      <w:r>
        <w:rPr>
          <w:rFonts w:ascii="Times New Roman" w:hAnsi="Times New Roman"/>
          <w:bCs/>
          <w:szCs w:val="21"/>
        </w:rPr>
        <w:fldChar w:fldCharType="separate"/>
      </w:r>
      <w:r>
        <w:fldChar w:fldCharType="begin"/>
      </w:r>
      <w:r>
        <w:instrText xml:space="preserve"> HYPERLINK \l "_Toc499728065" </w:instrText>
      </w:r>
      <w:r>
        <w:fldChar w:fldCharType="separate"/>
      </w:r>
      <w:r>
        <w:rPr>
          <w:rStyle w:val="14"/>
          <w:rFonts w:hint="eastAsia" w:ascii="Times New Roman" w:hAnsi="Times New Roman"/>
          <w:bCs/>
        </w:rPr>
        <w:t>一：引言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_Toc499728065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469141E3">
      <w:pPr>
        <w:pStyle w:val="8"/>
        <w:tabs>
          <w:tab w:val="right" w:leader="dot" w:pos="8296"/>
        </w:tabs>
        <w:spacing w:line="360" w:lineRule="auto"/>
        <w:rPr>
          <w:rFonts w:ascii="Times New Roman" w:hAnsi="Times New Roman"/>
        </w:rPr>
      </w:pPr>
      <w:r>
        <w:fldChar w:fldCharType="begin"/>
      </w:r>
      <w:r>
        <w:instrText xml:space="preserve"> HYPERLINK \l "_Toc499728066" </w:instrText>
      </w:r>
      <w:r>
        <w:fldChar w:fldCharType="separate"/>
      </w:r>
      <w:r>
        <w:rPr>
          <w:rStyle w:val="14"/>
          <w:rFonts w:hint="eastAsia" w:ascii="Times New Roman" w:hAnsi="Times New Roman"/>
          <w:bCs/>
        </w:rPr>
        <w:t>二：背景介绍</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_Toc499728066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7A5AB6C7">
      <w:pPr>
        <w:pStyle w:val="10"/>
        <w:tabs>
          <w:tab w:val="right" w:leader="dot" w:pos="8296"/>
        </w:tabs>
        <w:spacing w:line="360" w:lineRule="auto"/>
        <w:rPr>
          <w:rFonts w:ascii="Times New Roman" w:hAnsi="Times New Roman"/>
        </w:rPr>
      </w:pPr>
      <w:r>
        <w:fldChar w:fldCharType="begin"/>
      </w:r>
      <w:r>
        <w:instrText xml:space="preserve"> HYPERLINK \l "_Toc499728067" </w:instrText>
      </w:r>
      <w:r>
        <w:fldChar w:fldCharType="separate"/>
      </w:r>
      <w:r>
        <w:rPr>
          <w:rStyle w:val="14"/>
          <w:rFonts w:ascii="Times New Roman" w:hAnsi="Times New Roman"/>
          <w:bCs/>
          <w:iCs/>
        </w:rPr>
        <w:t>A.</w:t>
      </w:r>
      <w:r>
        <w:rPr>
          <w:rStyle w:val="14"/>
          <w:rFonts w:hint="eastAsia" w:ascii="Times New Roman" w:hAnsi="Times New Roman"/>
          <w:bCs/>
          <w:iCs/>
        </w:rPr>
        <w:t>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_Toc499728067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2A2DFBB5">
      <w:pPr>
        <w:pStyle w:val="10"/>
        <w:tabs>
          <w:tab w:val="right" w:leader="dot" w:pos="8296"/>
        </w:tabs>
        <w:spacing w:line="360" w:lineRule="auto"/>
        <w:rPr>
          <w:rFonts w:ascii="Times New Roman" w:hAnsi="Times New Roman"/>
        </w:rPr>
      </w:pPr>
      <w:r>
        <w:fldChar w:fldCharType="begin"/>
      </w:r>
      <w:r>
        <w:instrText xml:space="preserve"> HYPERLINK \l "_Toc499728068" </w:instrText>
      </w:r>
      <w:r>
        <w:fldChar w:fldCharType="separate"/>
      </w:r>
      <w:r>
        <w:rPr>
          <w:rStyle w:val="14"/>
          <w:rFonts w:ascii="Times New Roman" w:hAnsi="Times New Roman"/>
          <w:bCs/>
          <w:iCs/>
        </w:rPr>
        <w:t>B.</w:t>
      </w:r>
      <w:r>
        <w:rPr>
          <w:rStyle w:val="14"/>
          <w:rFonts w:hint="eastAsia" w:ascii="Times New Roman" w:hAnsi="Times New Roman"/>
          <w:bCs/>
          <w:iCs/>
        </w:rPr>
        <w:t>排除</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_Toc499728068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2624E208">
      <w:pPr>
        <w:pStyle w:val="10"/>
        <w:tabs>
          <w:tab w:val="right" w:leader="dot" w:pos="8296"/>
        </w:tabs>
        <w:spacing w:line="360" w:lineRule="auto"/>
        <w:rPr>
          <w:rFonts w:ascii="Times New Roman" w:hAnsi="Times New Roman"/>
        </w:rPr>
      </w:pPr>
      <w:r>
        <w:fldChar w:fldCharType="begin"/>
      </w:r>
      <w:r>
        <w:instrText xml:space="preserve"> HYPERLINK \l "_Toc499728069" </w:instrText>
      </w:r>
      <w:r>
        <w:fldChar w:fldCharType="separate"/>
      </w:r>
      <w:r>
        <w:rPr>
          <w:rStyle w:val="14"/>
          <w:rFonts w:ascii="Times New Roman" w:hAnsi="Times New Roman"/>
          <w:bCs/>
          <w:iCs/>
        </w:rPr>
        <w:t>C.</w:t>
      </w:r>
      <w:r>
        <w:rPr>
          <w:rStyle w:val="14"/>
          <w:rFonts w:hint="eastAsia" w:ascii="Times New Roman" w:hAnsi="Times New Roman"/>
          <w:bCs/>
          <w:iCs/>
        </w:rPr>
        <w:t>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_Toc499728069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15852D23">
      <w:pPr>
        <w:pStyle w:val="8"/>
        <w:tabs>
          <w:tab w:val="right" w:leader="dot" w:pos="8296"/>
        </w:tabs>
        <w:spacing w:line="360" w:lineRule="auto"/>
        <w:rPr>
          <w:rFonts w:ascii="Times New Roman" w:hAnsi="Times New Roman"/>
        </w:rPr>
      </w:pPr>
      <w:r>
        <w:fldChar w:fldCharType="begin"/>
      </w:r>
      <w:r>
        <w:instrText xml:space="preserve"> HYPERLINK \l "_Toc499728070" </w:instrText>
      </w:r>
      <w:r>
        <w:fldChar w:fldCharType="separate"/>
      </w:r>
      <w:r>
        <w:rPr>
          <w:rStyle w:val="14"/>
          <w:rFonts w:hint="eastAsia" w:ascii="Times New Roman" w:hAnsi="Times New Roman"/>
          <w:bCs/>
        </w:rPr>
        <w:t>三：器械比较</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_Toc499728070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fldChar w:fldCharType="end"/>
      </w:r>
    </w:p>
    <w:p w14:paraId="74E36229">
      <w:pPr>
        <w:pStyle w:val="8"/>
        <w:tabs>
          <w:tab w:val="right" w:leader="dot" w:pos="8296"/>
        </w:tabs>
        <w:spacing w:line="360" w:lineRule="auto"/>
        <w:rPr>
          <w:rFonts w:ascii="Times New Roman" w:hAnsi="Times New Roman"/>
        </w:rPr>
      </w:pPr>
      <w:r>
        <w:fldChar w:fldCharType="begin"/>
      </w:r>
      <w:r>
        <w:instrText xml:space="preserve"> HYPERLINK \l "_Toc499728071" </w:instrText>
      </w:r>
      <w:r>
        <w:fldChar w:fldCharType="separate"/>
      </w:r>
      <w:r>
        <w:rPr>
          <w:rStyle w:val="14"/>
          <w:rFonts w:hint="eastAsia" w:ascii="Times New Roman" w:hAnsi="Times New Roman"/>
          <w:bCs/>
        </w:rPr>
        <w:t>四：器械介绍</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_Toc499728071 \h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ascii="Times New Roman" w:hAnsi="Times New Roman"/>
        </w:rPr>
        <w:fldChar w:fldCharType="end"/>
      </w:r>
    </w:p>
    <w:p w14:paraId="6B36DBCE">
      <w:pPr>
        <w:pStyle w:val="8"/>
        <w:tabs>
          <w:tab w:val="right" w:leader="dot" w:pos="8296"/>
        </w:tabs>
        <w:spacing w:line="360" w:lineRule="auto"/>
        <w:rPr>
          <w:rFonts w:ascii="Times New Roman" w:hAnsi="Times New Roman"/>
        </w:rPr>
      </w:pPr>
      <w:r>
        <w:fldChar w:fldCharType="begin"/>
      </w:r>
      <w:r>
        <w:instrText xml:space="preserve"> HYPERLINK \l "_Toc499728072" </w:instrText>
      </w:r>
      <w:r>
        <w:fldChar w:fldCharType="separate"/>
      </w:r>
      <w:r>
        <w:rPr>
          <w:rStyle w:val="14"/>
          <w:rFonts w:hint="eastAsia" w:ascii="Times New Roman" w:hAnsi="Times New Roman"/>
        </w:rPr>
        <w:t>五：</w:t>
      </w:r>
      <w:r>
        <w:rPr>
          <w:rStyle w:val="14"/>
          <w:rFonts w:hint="eastAsia" w:ascii="Times New Roman" w:hAnsi="Times New Roman"/>
          <w:bCs/>
        </w:rPr>
        <w:t>预期用途</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_Toc499728072 \h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rPr>
        <w:fldChar w:fldCharType="end"/>
      </w:r>
    </w:p>
    <w:p w14:paraId="6145B38D">
      <w:pPr>
        <w:pStyle w:val="8"/>
        <w:tabs>
          <w:tab w:val="right" w:leader="dot" w:pos="8296"/>
        </w:tabs>
        <w:spacing w:line="360" w:lineRule="auto"/>
        <w:rPr>
          <w:rFonts w:ascii="Times New Roman" w:hAnsi="Times New Roman"/>
        </w:rPr>
      </w:pPr>
      <w:r>
        <w:fldChar w:fldCharType="begin"/>
      </w:r>
      <w:r>
        <w:instrText xml:space="preserve"> HYPERLINK \l "_Toc499728073" </w:instrText>
      </w:r>
      <w:r>
        <w:fldChar w:fldCharType="separate"/>
      </w:r>
      <w:r>
        <w:rPr>
          <w:rStyle w:val="14"/>
          <w:rFonts w:hint="eastAsia" w:ascii="Times New Roman" w:hAnsi="Times New Roman"/>
          <w:bCs/>
        </w:rPr>
        <w:t>六：美国食品药品管理局认可的标准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_Toc499728073 \h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rPr>
        <w:fldChar w:fldCharType="end"/>
      </w:r>
    </w:p>
    <w:p w14:paraId="4455FED5">
      <w:pPr>
        <w:pStyle w:val="8"/>
        <w:tabs>
          <w:tab w:val="right" w:leader="dot" w:pos="8296"/>
        </w:tabs>
        <w:spacing w:line="360" w:lineRule="auto"/>
        <w:rPr>
          <w:rFonts w:ascii="Times New Roman" w:hAnsi="Times New Roman"/>
        </w:rPr>
      </w:pPr>
      <w:r>
        <w:fldChar w:fldCharType="begin"/>
      </w:r>
      <w:r>
        <w:instrText xml:space="preserve"> HYPERLINK \l "_Toc499728074" </w:instrText>
      </w:r>
      <w:r>
        <w:fldChar w:fldCharType="separate"/>
      </w:r>
      <w:r>
        <w:rPr>
          <w:rStyle w:val="14"/>
          <w:rFonts w:hint="eastAsia" w:ascii="Times New Roman" w:hAnsi="Times New Roman"/>
        </w:rPr>
        <w:t>七：</w:t>
      </w:r>
      <w:r>
        <w:rPr>
          <w:rStyle w:val="14"/>
          <w:rFonts w:hint="eastAsia" w:ascii="Times New Roman" w:hAnsi="Times New Roman"/>
          <w:bCs/>
        </w:rPr>
        <w:t>性能特点</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_Toc499728074 \h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fldChar w:fldCharType="end"/>
      </w:r>
    </w:p>
    <w:p w14:paraId="5E5F4802">
      <w:pPr>
        <w:pStyle w:val="10"/>
        <w:tabs>
          <w:tab w:val="right" w:leader="dot" w:pos="8296"/>
        </w:tabs>
        <w:spacing w:line="360" w:lineRule="auto"/>
        <w:rPr>
          <w:rFonts w:ascii="Times New Roman" w:hAnsi="Times New Roman"/>
        </w:rPr>
      </w:pPr>
      <w:r>
        <w:fldChar w:fldCharType="begin"/>
      </w:r>
      <w:r>
        <w:instrText xml:space="preserve"> HYPERLINK \l "_Toc499728075" </w:instrText>
      </w:r>
      <w:r>
        <w:fldChar w:fldCharType="separate"/>
      </w:r>
      <w:r>
        <w:rPr>
          <w:rStyle w:val="14"/>
          <w:rFonts w:ascii="Times New Roman" w:hAnsi="Times New Roman"/>
          <w:bCs/>
          <w:iCs/>
        </w:rPr>
        <w:t>A.</w:t>
      </w:r>
      <w:r>
        <w:rPr>
          <w:rStyle w:val="14"/>
          <w:rFonts w:hint="eastAsia" w:ascii="Times New Roman" w:hAnsi="Times New Roman"/>
          <w:bCs/>
          <w:iCs/>
        </w:rPr>
        <w:t>过程指示剂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_Toc499728075 \h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fldChar w:fldCharType="end"/>
      </w:r>
    </w:p>
    <w:p w14:paraId="12D52737">
      <w:pPr>
        <w:pStyle w:val="10"/>
        <w:tabs>
          <w:tab w:val="right" w:leader="dot" w:pos="8296"/>
        </w:tabs>
        <w:spacing w:line="360" w:lineRule="auto"/>
        <w:rPr>
          <w:rFonts w:ascii="Times New Roman" w:hAnsi="Times New Roman"/>
        </w:rPr>
      </w:pPr>
      <w:r>
        <w:fldChar w:fldCharType="begin"/>
      </w:r>
      <w:r>
        <w:instrText xml:space="preserve"> HYPERLINK \l "_Toc499728076" </w:instrText>
      </w:r>
      <w:r>
        <w:fldChar w:fldCharType="separate"/>
      </w:r>
      <w:r>
        <w:rPr>
          <w:rStyle w:val="14"/>
          <w:rFonts w:ascii="Times New Roman" w:hAnsi="Times New Roman"/>
          <w:bCs/>
          <w:iCs/>
        </w:rPr>
        <w:t>B.</w:t>
      </w:r>
      <w:r>
        <w:rPr>
          <w:rStyle w:val="14"/>
          <w:rFonts w:hint="eastAsia" w:ascii="Times New Roman" w:hAnsi="Times New Roman"/>
          <w:bCs/>
          <w:iCs/>
        </w:rPr>
        <w:t>化学积分器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_Toc499728076 \h </w:instrText>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ascii="Times New Roman" w:hAnsi="Times New Roman"/>
        </w:rPr>
        <w:fldChar w:fldCharType="end"/>
      </w:r>
    </w:p>
    <w:p w14:paraId="51240E21">
      <w:pPr>
        <w:pStyle w:val="10"/>
        <w:tabs>
          <w:tab w:val="right" w:leader="dot" w:pos="8296"/>
        </w:tabs>
        <w:spacing w:line="360" w:lineRule="auto"/>
        <w:rPr>
          <w:rFonts w:ascii="Times New Roman" w:hAnsi="Times New Roman"/>
        </w:rPr>
      </w:pPr>
      <w:r>
        <w:fldChar w:fldCharType="begin"/>
      </w:r>
      <w:r>
        <w:instrText xml:space="preserve"> HYPERLINK \l "_Toc499728077" </w:instrText>
      </w:r>
      <w:r>
        <w:fldChar w:fldCharType="separate"/>
      </w:r>
      <w:r>
        <w:rPr>
          <w:rStyle w:val="14"/>
          <w:rFonts w:ascii="Times New Roman" w:hAnsi="Times New Roman"/>
        </w:rPr>
        <w:t>C.</w:t>
      </w:r>
      <w:r>
        <w:rPr>
          <w:rStyle w:val="14"/>
          <w:rFonts w:hint="eastAsia" w:ascii="Times New Roman" w:hAnsi="Times New Roman"/>
          <w:bCs/>
          <w:iCs/>
        </w:rPr>
        <w:t>化学积分器测试包</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_Toc499728077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rPr>
          <w:rFonts w:ascii="Times New Roman" w:hAnsi="Times New Roman"/>
        </w:rPr>
        <w:fldChar w:fldCharType="end"/>
      </w:r>
    </w:p>
    <w:p w14:paraId="1FBDB67C">
      <w:pPr>
        <w:pStyle w:val="10"/>
        <w:tabs>
          <w:tab w:val="right" w:leader="dot" w:pos="8296"/>
        </w:tabs>
        <w:spacing w:line="360" w:lineRule="auto"/>
        <w:rPr>
          <w:rFonts w:ascii="Times New Roman" w:hAnsi="Times New Roman"/>
        </w:rPr>
      </w:pPr>
      <w:r>
        <w:fldChar w:fldCharType="begin"/>
      </w:r>
      <w:r>
        <w:instrText xml:space="preserve"> HYPERLINK \l "_Toc499728078" </w:instrText>
      </w:r>
      <w:r>
        <w:fldChar w:fldCharType="separate"/>
      </w:r>
      <w:r>
        <w:rPr>
          <w:rStyle w:val="14"/>
          <w:rFonts w:ascii="Times New Roman" w:hAnsi="Times New Roman"/>
          <w:bCs/>
          <w:iCs/>
        </w:rPr>
        <w:t>D.</w:t>
      </w:r>
      <w:r>
        <w:rPr>
          <w:rStyle w:val="14"/>
          <w:rFonts w:hint="eastAsia" w:ascii="Times New Roman" w:hAnsi="Times New Roman"/>
          <w:bCs/>
          <w:iCs/>
        </w:rPr>
        <w:t>新型灭菌器所使用的过程指示剂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_Toc499728078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rPr>
          <w:rFonts w:ascii="Times New Roman" w:hAnsi="Times New Roman"/>
        </w:rPr>
        <w:fldChar w:fldCharType="end"/>
      </w:r>
    </w:p>
    <w:p w14:paraId="1A063F3B">
      <w:pPr>
        <w:pStyle w:val="10"/>
        <w:tabs>
          <w:tab w:val="right" w:leader="dot" w:pos="8296"/>
        </w:tabs>
        <w:spacing w:line="360" w:lineRule="auto"/>
        <w:rPr>
          <w:rFonts w:ascii="Times New Roman" w:hAnsi="Times New Roman"/>
        </w:rPr>
      </w:pPr>
      <w:r>
        <w:fldChar w:fldCharType="begin"/>
      </w:r>
      <w:r>
        <w:instrText xml:space="preserve"> HYPERLINK \l "_Toc499728079" </w:instrText>
      </w:r>
      <w:r>
        <w:fldChar w:fldCharType="separate"/>
      </w:r>
      <w:r>
        <w:rPr>
          <w:rStyle w:val="14"/>
          <w:rFonts w:ascii="Times New Roman" w:hAnsi="Times New Roman"/>
        </w:rPr>
        <w:t>E.</w:t>
      </w:r>
      <w:r>
        <w:rPr>
          <w:rStyle w:val="14"/>
          <w:rFonts w:hint="eastAsia" w:ascii="Times New Roman" w:hAnsi="Times New Roman"/>
          <w:bCs/>
          <w:iCs/>
        </w:rPr>
        <w:t>新型灭菌器所使用的化学积分器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_Toc499728079 \h </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rPr>
          <w:rFonts w:ascii="Times New Roman" w:hAnsi="Times New Roman"/>
        </w:rPr>
        <w:fldChar w:fldCharType="end"/>
      </w:r>
    </w:p>
    <w:p w14:paraId="5A3FC515">
      <w:pPr>
        <w:pStyle w:val="10"/>
        <w:tabs>
          <w:tab w:val="right" w:leader="dot" w:pos="8296"/>
        </w:tabs>
        <w:spacing w:line="360" w:lineRule="auto"/>
        <w:rPr>
          <w:rFonts w:ascii="Times New Roman" w:hAnsi="Times New Roman"/>
        </w:rPr>
      </w:pPr>
      <w:r>
        <w:fldChar w:fldCharType="begin"/>
      </w:r>
      <w:r>
        <w:instrText xml:space="preserve"> HYPERLINK \l "_Toc499728080" </w:instrText>
      </w:r>
      <w:r>
        <w:fldChar w:fldCharType="separate"/>
      </w:r>
      <w:r>
        <w:rPr>
          <w:rStyle w:val="14"/>
          <w:rFonts w:ascii="Times New Roman" w:hAnsi="Times New Roman"/>
          <w:bCs/>
          <w:iCs/>
        </w:rPr>
        <w:t>F.</w:t>
      </w:r>
      <w:r>
        <w:rPr>
          <w:rStyle w:val="14"/>
          <w:rFonts w:hint="eastAsia" w:ascii="Times New Roman" w:hAnsi="Times New Roman"/>
          <w:bCs/>
          <w:iCs/>
        </w:rPr>
        <w:t>新型化学积分器测试包</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_Toc499728080 \h </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rPr>
          <w:rFonts w:ascii="Times New Roman" w:hAnsi="Times New Roman"/>
        </w:rPr>
        <w:fldChar w:fldCharType="end"/>
      </w:r>
    </w:p>
    <w:p w14:paraId="37D2B1AA">
      <w:pPr>
        <w:pStyle w:val="10"/>
        <w:tabs>
          <w:tab w:val="right" w:leader="dot" w:pos="8296"/>
        </w:tabs>
        <w:spacing w:line="360" w:lineRule="auto"/>
        <w:rPr>
          <w:rFonts w:ascii="Times New Roman" w:hAnsi="Times New Roman"/>
        </w:rPr>
      </w:pPr>
      <w:r>
        <w:fldChar w:fldCharType="begin"/>
      </w:r>
      <w:r>
        <w:instrText xml:space="preserve"> HYPERLINK \l "_Toc499728081" </w:instrText>
      </w:r>
      <w:r>
        <w:fldChar w:fldCharType="separate"/>
      </w:r>
      <w:r>
        <w:rPr>
          <w:rStyle w:val="14"/>
          <w:rFonts w:ascii="Times New Roman" w:hAnsi="Times New Roman"/>
          <w:bCs/>
          <w:iCs/>
        </w:rPr>
        <w:t>G.</w:t>
      </w:r>
      <w:r>
        <w:rPr>
          <w:rStyle w:val="14"/>
          <w:rFonts w:hint="eastAsia" w:ascii="Times New Roman" w:hAnsi="Times New Roman"/>
          <w:bCs/>
          <w:iCs/>
        </w:rPr>
        <w:t>排气指示剂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_Toc499728081 \h </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rPr>
          <w:rFonts w:ascii="Times New Roman" w:hAnsi="Times New Roman"/>
        </w:rPr>
        <w:fldChar w:fldCharType="end"/>
      </w:r>
    </w:p>
    <w:p w14:paraId="2368810E">
      <w:pPr>
        <w:pStyle w:val="8"/>
        <w:tabs>
          <w:tab w:val="right" w:leader="dot" w:pos="8296"/>
        </w:tabs>
        <w:spacing w:line="360" w:lineRule="auto"/>
        <w:rPr>
          <w:rFonts w:ascii="Times New Roman" w:hAnsi="Times New Roman"/>
        </w:rPr>
      </w:pPr>
      <w:r>
        <w:fldChar w:fldCharType="begin"/>
      </w:r>
      <w:r>
        <w:instrText xml:space="preserve"> HYPERLINK \l "_Toc499728082" </w:instrText>
      </w:r>
      <w:r>
        <w:fldChar w:fldCharType="separate"/>
      </w:r>
      <w:r>
        <w:rPr>
          <w:rStyle w:val="14"/>
          <w:rFonts w:hint="eastAsia" w:ascii="Times New Roman" w:hAnsi="Times New Roman"/>
          <w:bCs/>
        </w:rPr>
        <w:t>八：生物相容性</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_Toc499728082 \h </w:instrText>
      </w:r>
      <w:r>
        <w:rPr>
          <w:rFonts w:ascii="Times New Roman" w:hAnsi="Times New Roman"/>
        </w:rPr>
        <w:fldChar w:fldCharType="separate"/>
      </w:r>
      <w:r>
        <w:rPr>
          <w:rFonts w:ascii="Times New Roman" w:hAnsi="Times New Roman"/>
        </w:rPr>
        <w:t>16</w:t>
      </w:r>
      <w:r>
        <w:rPr>
          <w:rFonts w:ascii="Times New Roman" w:hAnsi="Times New Roman"/>
        </w:rPr>
        <w:fldChar w:fldCharType="end"/>
      </w:r>
      <w:r>
        <w:rPr>
          <w:rFonts w:ascii="Times New Roman" w:hAnsi="Times New Roman"/>
        </w:rPr>
        <w:fldChar w:fldCharType="end"/>
      </w:r>
    </w:p>
    <w:p w14:paraId="524B3217">
      <w:pPr>
        <w:pStyle w:val="8"/>
        <w:tabs>
          <w:tab w:val="right" w:leader="dot" w:pos="8296"/>
        </w:tabs>
        <w:spacing w:line="360" w:lineRule="auto"/>
        <w:rPr>
          <w:rFonts w:ascii="Times New Roman" w:hAnsi="Times New Roman"/>
        </w:rPr>
      </w:pPr>
      <w:r>
        <w:fldChar w:fldCharType="begin"/>
      </w:r>
      <w:r>
        <w:instrText xml:space="preserve"> HYPERLINK \l "_Toc499728083" </w:instrText>
      </w:r>
      <w:r>
        <w:fldChar w:fldCharType="separate"/>
      </w:r>
      <w:r>
        <w:rPr>
          <w:rStyle w:val="14"/>
          <w:rFonts w:hint="eastAsia" w:ascii="Times New Roman" w:hAnsi="Times New Roman"/>
          <w:bCs/>
        </w:rPr>
        <w:t>九：化学指示剂的终点稳定性</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_Toc499728083 \h </w:instrText>
      </w:r>
      <w:r>
        <w:rPr>
          <w:rFonts w:ascii="Times New Roman" w:hAnsi="Times New Roman"/>
        </w:rPr>
        <w:fldChar w:fldCharType="separate"/>
      </w:r>
      <w:r>
        <w:rPr>
          <w:rFonts w:ascii="Times New Roman" w:hAnsi="Times New Roman"/>
        </w:rPr>
        <w:t>16</w:t>
      </w:r>
      <w:r>
        <w:rPr>
          <w:rFonts w:ascii="Times New Roman" w:hAnsi="Times New Roman"/>
        </w:rPr>
        <w:fldChar w:fldCharType="end"/>
      </w:r>
      <w:r>
        <w:rPr>
          <w:rFonts w:ascii="Times New Roman" w:hAnsi="Times New Roman"/>
        </w:rPr>
        <w:fldChar w:fldCharType="end"/>
      </w:r>
    </w:p>
    <w:p w14:paraId="4B653D38">
      <w:pPr>
        <w:pStyle w:val="8"/>
        <w:tabs>
          <w:tab w:val="right" w:leader="dot" w:pos="8296"/>
        </w:tabs>
        <w:spacing w:line="360" w:lineRule="auto"/>
        <w:rPr>
          <w:rFonts w:ascii="Times New Roman" w:hAnsi="Times New Roman"/>
        </w:rPr>
      </w:pPr>
      <w:r>
        <w:fldChar w:fldCharType="begin"/>
      </w:r>
      <w:r>
        <w:instrText xml:space="preserve"> HYPERLINK \l "_Toc499728084" </w:instrText>
      </w:r>
      <w:r>
        <w:fldChar w:fldCharType="separate"/>
      </w:r>
      <w:r>
        <w:rPr>
          <w:rStyle w:val="14"/>
          <w:rFonts w:hint="eastAsia" w:ascii="Times New Roman" w:hAnsi="Times New Roman"/>
          <w:bCs/>
        </w:rPr>
        <w:t>十：货架期</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_Toc499728084 \h </w:instrText>
      </w:r>
      <w:r>
        <w:rPr>
          <w:rFonts w:ascii="Times New Roman" w:hAnsi="Times New Roman"/>
        </w:rPr>
        <w:fldChar w:fldCharType="separate"/>
      </w:r>
      <w:r>
        <w:rPr>
          <w:rFonts w:ascii="Times New Roman" w:hAnsi="Times New Roman"/>
        </w:rPr>
        <w:t>16</w:t>
      </w:r>
      <w:r>
        <w:rPr>
          <w:rFonts w:ascii="Times New Roman" w:hAnsi="Times New Roman"/>
        </w:rPr>
        <w:fldChar w:fldCharType="end"/>
      </w:r>
      <w:r>
        <w:rPr>
          <w:rFonts w:ascii="Times New Roman" w:hAnsi="Times New Roman"/>
        </w:rPr>
        <w:fldChar w:fldCharType="end"/>
      </w:r>
    </w:p>
    <w:p w14:paraId="39F6A76F">
      <w:pPr>
        <w:pStyle w:val="8"/>
        <w:tabs>
          <w:tab w:val="right" w:leader="dot" w:pos="8296"/>
        </w:tabs>
        <w:spacing w:line="360" w:lineRule="auto"/>
        <w:rPr>
          <w:rFonts w:ascii="Times New Roman" w:hAnsi="Times New Roman"/>
        </w:rPr>
      </w:pPr>
      <w:r>
        <w:fldChar w:fldCharType="begin"/>
      </w:r>
      <w:r>
        <w:instrText xml:space="preserve"> HYPERLINK \l "_Toc499728085" </w:instrText>
      </w:r>
      <w:r>
        <w:fldChar w:fldCharType="separate"/>
      </w:r>
      <w:r>
        <w:rPr>
          <w:rStyle w:val="14"/>
          <w:rFonts w:hint="eastAsia" w:ascii="Times New Roman" w:hAnsi="Times New Roman"/>
        </w:rPr>
        <w:t>十一：</w:t>
      </w:r>
      <w:r>
        <w:rPr>
          <w:rStyle w:val="14"/>
          <w:rFonts w:hint="eastAsia" w:ascii="Times New Roman" w:hAnsi="Times New Roman"/>
          <w:bCs/>
        </w:rPr>
        <w:t>标签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_Toc499728085 \h </w:instrText>
      </w:r>
      <w:r>
        <w:rPr>
          <w:rFonts w:ascii="Times New Roman" w:hAnsi="Times New Roman"/>
        </w:rPr>
        <w:fldChar w:fldCharType="separate"/>
      </w:r>
      <w:r>
        <w:rPr>
          <w:rFonts w:ascii="Times New Roman" w:hAnsi="Times New Roman"/>
        </w:rPr>
        <w:t>17</w:t>
      </w:r>
      <w:r>
        <w:rPr>
          <w:rFonts w:ascii="Times New Roman" w:hAnsi="Times New Roman"/>
        </w:rPr>
        <w:fldChar w:fldCharType="end"/>
      </w:r>
      <w:r>
        <w:rPr>
          <w:rFonts w:ascii="Times New Roman" w:hAnsi="Times New Roman"/>
        </w:rPr>
        <w:fldChar w:fldCharType="end"/>
      </w:r>
    </w:p>
    <w:p w14:paraId="2316721D">
      <w:pPr>
        <w:pStyle w:val="8"/>
        <w:tabs>
          <w:tab w:val="right" w:leader="dot" w:pos="8296"/>
        </w:tabs>
        <w:spacing w:line="360" w:lineRule="auto"/>
        <w:rPr>
          <w:rFonts w:ascii="Times New Roman" w:hAnsi="Times New Roman"/>
        </w:rPr>
      </w:pPr>
      <w:r>
        <w:fldChar w:fldCharType="begin"/>
      </w:r>
      <w:r>
        <w:instrText xml:space="preserve"> HYPERLINK \l "_Toc499728086" </w:instrText>
      </w:r>
      <w:r>
        <w:fldChar w:fldCharType="separate"/>
      </w:r>
      <w:r>
        <w:rPr>
          <w:rStyle w:val="14"/>
          <w:rFonts w:hint="eastAsia" w:ascii="Times New Roman" w:hAnsi="Times New Roman"/>
        </w:rPr>
        <w:t>十二：</w:t>
      </w:r>
      <w:r>
        <w:rPr>
          <w:rStyle w:val="14"/>
          <w:rFonts w:hint="eastAsia" w:ascii="Times New Roman" w:hAnsi="Times New Roman"/>
          <w:bCs/>
        </w:rPr>
        <w:t>参考文献</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_Toc499728086 \h </w:instrText>
      </w:r>
      <w:r>
        <w:rPr>
          <w:rFonts w:ascii="Times New Roman" w:hAnsi="Times New Roman"/>
        </w:rPr>
        <w:fldChar w:fldCharType="separate"/>
      </w:r>
      <w:r>
        <w:rPr>
          <w:rFonts w:ascii="Times New Roman" w:hAnsi="Times New Roman"/>
        </w:rPr>
        <w:t>19</w:t>
      </w:r>
      <w:r>
        <w:rPr>
          <w:rFonts w:ascii="Times New Roman" w:hAnsi="Times New Roman"/>
        </w:rPr>
        <w:fldChar w:fldCharType="end"/>
      </w:r>
      <w:r>
        <w:rPr>
          <w:rFonts w:ascii="Times New Roman" w:hAnsi="Times New Roman"/>
        </w:rPr>
        <w:fldChar w:fldCharType="end"/>
      </w:r>
    </w:p>
    <w:p w14:paraId="2696EB3B">
      <w:pPr>
        <w:pStyle w:val="8"/>
        <w:tabs>
          <w:tab w:val="right" w:leader="dot" w:pos="8296"/>
        </w:tabs>
        <w:spacing w:line="360" w:lineRule="auto"/>
        <w:rPr>
          <w:rFonts w:ascii="Times New Roman" w:hAnsi="Times New Roman"/>
        </w:rPr>
      </w:pPr>
      <w:r>
        <w:fldChar w:fldCharType="begin"/>
      </w:r>
      <w:r>
        <w:instrText xml:space="preserve"> HYPERLINK \l "_Toc499728087" </w:instrText>
      </w:r>
      <w:r>
        <w:fldChar w:fldCharType="separate"/>
      </w:r>
      <w:r>
        <w:rPr>
          <w:rStyle w:val="14"/>
          <w:rFonts w:hint="eastAsia" w:ascii="Times New Roman" w:hAnsi="Times New Roman"/>
          <w:bCs/>
        </w:rPr>
        <w:t>十三：化学指示剂</w:t>
      </w:r>
      <w:r>
        <w:rPr>
          <w:rStyle w:val="14"/>
          <w:rFonts w:ascii="Times New Roman" w:hAnsi="Times New Roman"/>
          <w:bCs/>
        </w:rPr>
        <w:t>510(k)</w:t>
      </w:r>
      <w:r>
        <w:rPr>
          <w:rStyle w:val="14"/>
          <w:rFonts w:hint="eastAsia" w:ascii="Times New Roman" w:hAnsi="Times New Roman"/>
          <w:bCs/>
        </w:rPr>
        <w:t>清单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_Toc499728087 \h </w:instrText>
      </w:r>
      <w:r>
        <w:rPr>
          <w:rFonts w:ascii="Times New Roman" w:hAnsi="Times New Roman"/>
        </w:rPr>
        <w:fldChar w:fldCharType="separate"/>
      </w:r>
      <w:r>
        <w:rPr>
          <w:rFonts w:ascii="Times New Roman" w:hAnsi="Times New Roman"/>
        </w:rPr>
        <w:t>20</w:t>
      </w:r>
      <w:r>
        <w:rPr>
          <w:rFonts w:ascii="Times New Roman" w:hAnsi="Times New Roman"/>
        </w:rPr>
        <w:fldChar w:fldCharType="end"/>
      </w:r>
      <w:r>
        <w:rPr>
          <w:rFonts w:ascii="Times New Roman" w:hAnsi="Times New Roman"/>
        </w:rPr>
        <w:fldChar w:fldCharType="end"/>
      </w:r>
    </w:p>
    <w:p w14:paraId="72298385">
      <w:pPr>
        <w:widowControl/>
        <w:spacing w:line="360" w:lineRule="auto"/>
        <w:jc w:val="left"/>
        <w:rPr>
          <w:rFonts w:ascii="Times New Roman" w:hAnsi="Times New Roman"/>
          <w:b/>
          <w:bCs/>
          <w:szCs w:val="21"/>
        </w:rPr>
      </w:pPr>
      <w:r>
        <w:rPr>
          <w:rFonts w:ascii="Times New Roman" w:hAnsi="Times New Roman"/>
          <w:bCs/>
          <w:szCs w:val="21"/>
        </w:rPr>
        <w:fldChar w:fldCharType="end"/>
      </w:r>
    </w:p>
    <w:p w14:paraId="233B2790">
      <w:pPr>
        <w:pBdr>
          <w:bottom w:val="single" w:color="auto" w:sz="4" w:space="1"/>
        </w:pBdr>
        <w:autoSpaceDE w:val="0"/>
        <w:autoSpaceDN w:val="0"/>
        <w:spacing w:line="360" w:lineRule="auto"/>
        <w:jc w:val="center"/>
        <w:rPr>
          <w:rFonts w:ascii="Times New Roman" w:hAnsi="Times New Roman"/>
          <w:b/>
          <w:bCs/>
          <w:kern w:val="0"/>
          <w:sz w:val="32"/>
          <w:szCs w:val="32"/>
        </w:rPr>
      </w:pPr>
      <w:r>
        <w:rPr>
          <w:rFonts w:ascii="Times New Roman" w:hAnsi="Times New Roman"/>
          <w:b/>
          <w:bCs/>
          <w:szCs w:val="21"/>
        </w:rPr>
        <w:br w:type="page"/>
      </w:r>
      <w:r>
        <w:rPr>
          <w:rFonts w:hint="eastAsia" w:ascii="Times New Roman" w:hAnsi="宋体"/>
          <w:b/>
          <w:bCs/>
          <w:kern w:val="0"/>
          <w:sz w:val="32"/>
          <w:szCs w:val="32"/>
        </w:rPr>
        <w:t>行业及</w:t>
      </w:r>
      <w:r>
        <w:rPr>
          <w:rFonts w:ascii="Times New Roman" w:hAnsi="Times New Roman"/>
          <w:b/>
          <w:bCs/>
          <w:kern w:val="0"/>
          <w:sz w:val="32"/>
          <w:szCs w:val="32"/>
        </w:rPr>
        <w:t>FDA</w:t>
      </w:r>
      <w:r>
        <w:rPr>
          <w:rFonts w:hint="eastAsia" w:ascii="Times New Roman" w:hAnsi="宋体"/>
          <w:b/>
          <w:bCs/>
          <w:kern w:val="0"/>
          <w:sz w:val="32"/>
          <w:szCs w:val="32"/>
        </w:rPr>
        <w:t>工作人员指南</w:t>
      </w:r>
    </w:p>
    <w:p w14:paraId="7307E9FC">
      <w:pPr>
        <w:spacing w:line="360" w:lineRule="auto"/>
        <w:jc w:val="center"/>
        <w:rPr>
          <w:rFonts w:ascii="Times New Roman" w:hAnsi="宋体"/>
          <w:b/>
          <w:bCs/>
          <w:sz w:val="32"/>
          <w:szCs w:val="32"/>
        </w:rPr>
      </w:pPr>
    </w:p>
    <w:p w14:paraId="3BA824BC">
      <w:pPr>
        <w:spacing w:line="360" w:lineRule="auto"/>
        <w:jc w:val="center"/>
        <w:rPr>
          <w:rFonts w:ascii="Times New Roman" w:hAnsi="宋体"/>
          <w:b/>
          <w:bCs/>
          <w:sz w:val="32"/>
          <w:szCs w:val="32"/>
        </w:rPr>
      </w:pPr>
      <w:r>
        <w:rPr>
          <w:rFonts w:hint="eastAsia" w:ascii="Times New Roman" w:hAnsi="宋体"/>
          <w:b/>
          <w:bCs/>
          <w:sz w:val="32"/>
          <w:szCs w:val="32"/>
        </w:rPr>
        <w:t>化学指示剂上市前通知</w:t>
      </w:r>
      <w:r>
        <w:rPr>
          <w:rFonts w:ascii="Times New Roman" w:hAnsi="Times New Roman"/>
          <w:b/>
          <w:bCs/>
          <w:sz w:val="32"/>
          <w:szCs w:val="32"/>
        </w:rPr>
        <w:t>[510(k)]</w:t>
      </w:r>
      <w:r>
        <w:rPr>
          <w:rFonts w:hint="eastAsia" w:ascii="Times New Roman" w:hAnsi="宋体"/>
          <w:b/>
          <w:bCs/>
          <w:sz w:val="32"/>
          <w:szCs w:val="32"/>
        </w:rPr>
        <w:t>提交报告</w:t>
      </w:r>
    </w:p>
    <w:p w14:paraId="778A460C">
      <w:pPr>
        <w:spacing w:line="360" w:lineRule="auto"/>
        <w:jc w:val="center"/>
        <w:rPr>
          <w:rFonts w:ascii="Times New Roman" w:hAnsi="Times New Roman"/>
          <w:sz w:val="32"/>
          <w:szCs w:val="32"/>
        </w:rPr>
      </w:pPr>
    </w:p>
    <w:p w14:paraId="028964C2">
      <w:pPr>
        <w:pBdr>
          <w:top w:val="thinThickThinSmallGap" w:color="auto" w:sz="24" w:space="1"/>
          <w:left w:val="thinThickThinSmallGap" w:color="auto" w:sz="24" w:space="4"/>
          <w:bottom w:val="thinThickThinSmallGap" w:color="auto" w:sz="24" w:space="1"/>
          <w:right w:val="thinThickThinSmallGap" w:color="auto" w:sz="24" w:space="4"/>
        </w:pBdr>
        <w:kinsoku w:val="0"/>
        <w:overflowPunct w:val="0"/>
        <w:autoSpaceDE w:val="0"/>
        <w:autoSpaceDN w:val="0"/>
        <w:spacing w:line="360" w:lineRule="auto"/>
        <w:rPr>
          <w:rFonts w:ascii="Times New Roman" w:hAnsi="Times New Roman"/>
          <w:kern w:val="0"/>
          <w:szCs w:val="21"/>
        </w:rPr>
      </w:pPr>
      <w:r>
        <w:rPr>
          <w:rFonts w:hint="eastAsia" w:ascii="Times New Roman" w:hAnsi="宋体"/>
          <w:b/>
          <w:bCs/>
          <w:i/>
          <w:iCs/>
          <w:kern w:val="0"/>
          <w:szCs w:val="21"/>
        </w:rPr>
        <w:t>本指</w:t>
      </w:r>
      <w:r>
        <w:rPr>
          <w:rFonts w:hint="eastAsia" w:hAnsi="宋体"/>
          <w:b/>
          <w:bCs/>
          <w:i/>
          <w:szCs w:val="21"/>
        </w:rPr>
        <w:t>导代表了美国食品药品管理局（</w:t>
      </w:r>
      <w:r>
        <w:rPr>
          <w:rFonts w:hAnsi="宋体"/>
          <w:b/>
          <w:bCs/>
          <w:i/>
          <w:szCs w:val="21"/>
        </w:rPr>
        <w:t>FDA</w:t>
      </w:r>
      <w:r>
        <w:rPr>
          <w:rFonts w:hint="eastAsia" w:hAnsi="宋体"/>
          <w:b/>
          <w:bCs/>
          <w:i/>
          <w:szCs w:val="21"/>
        </w:rPr>
        <w:t>）当前对本主题的看法。</w:t>
      </w:r>
      <w:bookmarkStart w:id="7" w:name="_Hlk500941380"/>
      <w:r>
        <w:rPr>
          <w:rFonts w:hint="eastAsia" w:hAnsi="宋体"/>
          <w:b/>
          <w:bCs/>
          <w:i/>
          <w:szCs w:val="21"/>
        </w:rPr>
        <w:t>它不赋予任何人任何权利，也不对</w:t>
      </w:r>
      <w:r>
        <w:rPr>
          <w:rFonts w:hAnsi="宋体"/>
          <w:b/>
          <w:bCs/>
          <w:i/>
          <w:szCs w:val="21"/>
        </w:rPr>
        <w:t>FDA</w:t>
      </w:r>
      <w:r>
        <w:rPr>
          <w:rFonts w:hint="eastAsia" w:hAnsi="宋体"/>
          <w:b/>
          <w:bCs/>
          <w:i/>
          <w:szCs w:val="21"/>
        </w:rPr>
        <w:t>或公众具有约束力</w:t>
      </w:r>
      <w:r>
        <w:rPr>
          <w:rFonts w:hAnsi="宋体"/>
          <w:b/>
          <w:bCs/>
          <w:i/>
          <w:szCs w:val="21"/>
        </w:rPr>
        <w:t>。</w:t>
      </w:r>
      <w:bookmarkEnd w:id="7"/>
      <w:r>
        <w:rPr>
          <w:rFonts w:hint="eastAsia" w:hAnsi="宋体"/>
          <w:b/>
          <w:bCs/>
          <w:i/>
          <w:szCs w:val="21"/>
        </w:rPr>
        <w:t>如果其他方法满足适用的法律和法规的要求，您可以使用其他方法。如果您想讨论其他方法</w:t>
      </w:r>
      <w:r>
        <w:rPr>
          <w:rFonts w:hAnsi="宋体"/>
          <w:b/>
          <w:bCs/>
          <w:i/>
          <w:szCs w:val="21"/>
        </w:rPr>
        <w:t>,</w:t>
      </w:r>
      <w:r>
        <w:rPr>
          <w:rFonts w:hint="eastAsia" w:hAnsi="宋体"/>
          <w:b/>
          <w:bCs/>
          <w:i/>
          <w:szCs w:val="21"/>
        </w:rPr>
        <w:t>请联系负责实施本指南的</w:t>
      </w:r>
      <w:r>
        <w:rPr>
          <w:rFonts w:hAnsi="宋体"/>
          <w:b/>
          <w:bCs/>
          <w:i/>
          <w:szCs w:val="21"/>
        </w:rPr>
        <w:t>FDA</w:t>
      </w:r>
      <w:r>
        <w:rPr>
          <w:rFonts w:hint="eastAsia" w:hAnsi="宋体"/>
          <w:b/>
          <w:bCs/>
          <w:i/>
          <w:szCs w:val="21"/>
        </w:rPr>
        <w:t>工作人员。</w:t>
      </w:r>
      <w:bookmarkStart w:id="8" w:name="_Hlk500941370"/>
      <w:bookmarkStart w:id="9" w:name="_Hlk500937225"/>
      <w:r>
        <w:rPr>
          <w:rFonts w:hAnsi="宋体"/>
          <w:b/>
          <w:bCs/>
          <w:i/>
          <w:szCs w:val="21"/>
        </w:rPr>
        <w:t>如果您无法确定适当的FDA工作人员，请拨打本指南标题页上所列的电话号码</w:t>
      </w:r>
      <w:bookmarkEnd w:id="8"/>
      <w:r>
        <w:rPr>
          <w:rFonts w:hAnsi="宋体"/>
          <w:b/>
          <w:bCs/>
          <w:i/>
          <w:szCs w:val="21"/>
        </w:rPr>
        <w:t>。</w:t>
      </w:r>
      <w:bookmarkEnd w:id="9"/>
    </w:p>
    <w:p w14:paraId="67249001">
      <w:pPr>
        <w:spacing w:before="240" w:line="360" w:lineRule="auto"/>
        <w:outlineLvl w:val="0"/>
        <w:rPr>
          <w:rFonts w:ascii="Times New Roman" w:hAnsi="Times New Roman"/>
          <w:sz w:val="28"/>
          <w:szCs w:val="28"/>
        </w:rPr>
      </w:pPr>
      <w:bookmarkStart w:id="10" w:name="_Toc499728065"/>
      <w:r>
        <w:rPr>
          <w:rFonts w:hint="eastAsia" w:ascii="Times New Roman" w:hAnsi="宋体"/>
          <w:b/>
          <w:bCs/>
          <w:sz w:val="28"/>
          <w:szCs w:val="28"/>
        </w:rPr>
        <w:t>一：</w:t>
      </w:r>
      <w:bookmarkEnd w:id="10"/>
      <w:r>
        <w:rPr>
          <w:rFonts w:hint="eastAsia" w:ascii="Times New Roman" w:hAnsi="宋体"/>
          <w:b/>
          <w:bCs/>
          <w:sz w:val="28"/>
          <w:szCs w:val="28"/>
        </w:rPr>
        <w:t>引言</w:t>
      </w:r>
    </w:p>
    <w:p w14:paraId="36B4FEDD">
      <w:pPr>
        <w:spacing w:before="240" w:line="360" w:lineRule="auto"/>
        <w:rPr>
          <w:rFonts w:ascii="Times New Roman" w:hAnsi="Times New Roman"/>
          <w:szCs w:val="21"/>
        </w:rPr>
      </w:pPr>
      <w:r>
        <w:rPr>
          <w:rFonts w:hint="eastAsia" w:ascii="Times New Roman" w:hAnsi="宋体"/>
          <w:szCs w:val="21"/>
        </w:rPr>
        <w:t>根据《美国联邦法规》（</w:t>
      </w:r>
      <w:r>
        <w:rPr>
          <w:rFonts w:ascii="Times New Roman" w:hAnsi="Times New Roman"/>
          <w:szCs w:val="21"/>
        </w:rPr>
        <w:t>CFR</w:t>
      </w:r>
      <w:r>
        <w:rPr>
          <w:rFonts w:hint="eastAsia" w:ascii="Times New Roman" w:hAnsi="宋体"/>
          <w:szCs w:val="21"/>
        </w:rPr>
        <w:t>）第二十一章第</w:t>
      </w:r>
      <w:r>
        <w:rPr>
          <w:rFonts w:ascii="Times New Roman" w:hAnsi="Times New Roman"/>
          <w:szCs w:val="21"/>
        </w:rPr>
        <w:t>880.2800</w:t>
      </w:r>
      <w:r>
        <w:rPr>
          <w:rFonts w:hint="eastAsia" w:ascii="Times New Roman" w:hAnsi="宋体"/>
          <w:szCs w:val="21"/>
        </w:rPr>
        <w:t>节的规定，医疗机构用来对灭菌过程进行监视的化学指示剂属于二类器械。化学指示剂也被称为</w:t>
      </w:r>
      <w:r>
        <w:rPr>
          <w:rFonts w:ascii="Times New Roman" w:hAnsi="Times New Roman"/>
          <w:szCs w:val="21"/>
        </w:rPr>
        <w:t>“</w:t>
      </w:r>
      <w:r>
        <w:rPr>
          <w:rFonts w:hint="eastAsia" w:ascii="Times New Roman" w:hAnsi="宋体"/>
          <w:szCs w:val="21"/>
        </w:rPr>
        <w:t>物理</w:t>
      </w:r>
      <w:r>
        <w:rPr>
          <w:rFonts w:ascii="Times New Roman" w:hAnsi="Times New Roman"/>
          <w:szCs w:val="21"/>
        </w:rPr>
        <w:t>/</w:t>
      </w:r>
      <w:r>
        <w:rPr>
          <w:rFonts w:hint="eastAsia" w:ascii="Times New Roman" w:hAnsi="宋体"/>
          <w:szCs w:val="21"/>
        </w:rPr>
        <w:t>化学灭菌过程指示剂</w:t>
      </w:r>
      <w:r>
        <w:rPr>
          <w:rFonts w:ascii="Times New Roman" w:hAnsi="Times New Roman"/>
          <w:szCs w:val="21"/>
        </w:rPr>
        <w:t>”</w:t>
      </w:r>
      <w:r>
        <w:rPr>
          <w:rFonts w:hint="eastAsia" w:ascii="Times New Roman" w:hAnsi="宋体"/>
          <w:szCs w:val="21"/>
        </w:rPr>
        <w:t>。本指导文件中所使用的</w:t>
      </w:r>
      <w:r>
        <w:rPr>
          <w:rFonts w:ascii="Times New Roman" w:hAnsi="Times New Roman"/>
          <w:szCs w:val="21"/>
        </w:rPr>
        <w:t>“</w:t>
      </w:r>
      <w:r>
        <w:rPr>
          <w:rFonts w:hint="eastAsia" w:ascii="Times New Roman" w:hAnsi="宋体"/>
          <w:szCs w:val="21"/>
        </w:rPr>
        <w:t>化学指示剂</w:t>
      </w:r>
      <w:r>
        <w:rPr>
          <w:rFonts w:ascii="Times New Roman" w:hAnsi="Times New Roman"/>
          <w:szCs w:val="21"/>
        </w:rPr>
        <w:t>”</w:t>
      </w:r>
      <w:r>
        <w:rPr>
          <w:rFonts w:hint="eastAsia" w:ascii="Times New Roman" w:hAnsi="宋体"/>
          <w:szCs w:val="21"/>
        </w:rPr>
        <w:t>一词包括</w:t>
      </w:r>
      <w:r>
        <w:rPr>
          <w:rFonts w:ascii="Times New Roman" w:hAnsi="Times New Roman"/>
          <w:szCs w:val="21"/>
        </w:rPr>
        <w:t>Bowie Dick</w:t>
      </w:r>
      <w:r>
        <w:rPr>
          <w:rFonts w:hint="eastAsia" w:ascii="Times New Roman" w:hAnsi="宋体"/>
          <w:szCs w:val="21"/>
        </w:rPr>
        <w:t>等测试包所使用的过程指示剂、化学积分器以及排气指示剂。</w:t>
      </w:r>
    </w:p>
    <w:p w14:paraId="2EBCF58C">
      <w:pPr>
        <w:spacing w:before="240" w:line="360" w:lineRule="auto"/>
        <w:rPr>
          <w:rFonts w:ascii="Times New Roman" w:hAnsi="Times New Roman"/>
          <w:szCs w:val="21"/>
        </w:rPr>
      </w:pPr>
      <w:r>
        <w:rPr>
          <w:rFonts w:hint="eastAsia" w:ascii="Times New Roman" w:hAnsi="宋体"/>
          <w:szCs w:val="21"/>
        </w:rPr>
        <w:t>根据《联邦食品、药品和化妆品法案》（《法案》）中</w:t>
      </w:r>
      <w:r>
        <w:rPr>
          <w:rFonts w:ascii="Times New Roman" w:hAnsi="Times New Roman"/>
          <w:szCs w:val="21"/>
        </w:rPr>
        <w:t>510(k)</w:t>
      </w:r>
      <w:r>
        <w:rPr>
          <w:rFonts w:hint="eastAsia" w:ascii="Times New Roman" w:hAnsi="宋体"/>
          <w:szCs w:val="21"/>
        </w:rPr>
        <w:t>部分的要求，想要在市场上销售医疗机构所使用的化学指示剂的人员必须在器械进入州际贸易之前向美国食品药品管理局提交上市前通知提交报告并获得批准。</w:t>
      </w:r>
    </w:p>
    <w:p w14:paraId="07E0AA3B">
      <w:pPr>
        <w:spacing w:before="240" w:line="360" w:lineRule="auto"/>
        <w:rPr>
          <w:rFonts w:ascii="Times New Roman" w:hAnsi="Times New Roman"/>
          <w:szCs w:val="21"/>
        </w:rPr>
      </w:pPr>
      <w:r>
        <w:rPr>
          <w:rFonts w:hint="eastAsia" w:ascii="Times New Roman" w:hAnsi="宋体"/>
          <w:szCs w:val="21"/>
        </w:rPr>
        <w:t>有关化学指示剂5</w:t>
      </w:r>
      <w:r>
        <w:rPr>
          <w:rFonts w:ascii="Times New Roman" w:hAnsi="宋体"/>
          <w:szCs w:val="21"/>
        </w:rPr>
        <w:t>01</w:t>
      </w:r>
      <w:r>
        <w:rPr>
          <w:rFonts w:ascii="Times New Roman" w:hAnsi="Times New Roman"/>
          <w:szCs w:val="21"/>
        </w:rPr>
        <w:t>(k)</w:t>
      </w:r>
      <w:r>
        <w:rPr>
          <w:rFonts w:hint="eastAsia" w:ascii="Times New Roman" w:hAnsi="宋体"/>
          <w:szCs w:val="21"/>
        </w:rPr>
        <w:t>提交的基本内容和格式的规定，见《美国联邦法规》第二十一章第</w:t>
      </w:r>
      <w:r>
        <w:rPr>
          <w:rFonts w:ascii="Times New Roman" w:hAnsi="Times New Roman"/>
          <w:szCs w:val="21"/>
        </w:rPr>
        <w:t>807</w:t>
      </w:r>
      <w:r>
        <w:rPr>
          <w:rFonts w:hint="eastAsia" w:ascii="Times New Roman" w:hAnsi="宋体"/>
          <w:szCs w:val="21"/>
        </w:rPr>
        <w:t>部分。这些以及其他与新型医疗器械的上市有关的法规要求在本指导文件中进行了探讨，可以从医疗器械与放射健康中心小型制造商、国际与消费者辅助部门（</w:t>
      </w:r>
      <w:r>
        <w:rPr>
          <w:rFonts w:ascii="Times New Roman" w:hAnsi="Times New Roman"/>
          <w:szCs w:val="21"/>
        </w:rPr>
        <w:t>DSMICA</w:t>
      </w:r>
      <w:r>
        <w:rPr>
          <w:rFonts w:hint="eastAsia" w:ascii="Times New Roman" w:hAnsi="宋体"/>
          <w:szCs w:val="21"/>
        </w:rPr>
        <w:t>）得到。这些要求的解释也可以参见医疗器械与放射健康中心器械建议网站</w:t>
      </w:r>
      <w:r>
        <w:rPr>
          <w:rFonts w:ascii="Times New Roman" w:hAnsi="Times New Roman"/>
          <w:color w:val="0000FF"/>
          <w:kern w:val="0"/>
          <w:szCs w:val="21"/>
          <w:u w:val="single"/>
        </w:rPr>
        <w:t>http://www.fda.gov/cdrh/devadvice/</w:t>
      </w:r>
      <w:r>
        <w:rPr>
          <w:rFonts w:hint="eastAsia" w:ascii="Times New Roman" w:hAnsi="宋体"/>
          <w:szCs w:val="21"/>
        </w:rPr>
        <w:t>。</w:t>
      </w:r>
    </w:p>
    <w:p w14:paraId="276024CD">
      <w:pPr>
        <w:spacing w:before="240" w:line="360" w:lineRule="auto"/>
        <w:rPr>
          <w:rFonts w:ascii="Times New Roman" w:hAnsi="Times New Roman"/>
          <w:szCs w:val="21"/>
        </w:rPr>
      </w:pPr>
      <w:r>
        <w:rPr>
          <w:rFonts w:hint="eastAsia" w:ascii="Times New Roman" w:hAnsi="宋体"/>
          <w:szCs w:val="21"/>
        </w:rPr>
        <w:t>目前灭菌技术的管理需要使用多种监控程序。化学指示剂是这种监控程序中的重要部分。和生物指示剂以及机械监控器一样，它们能够提供有效的方法来探测灭菌过程的失败。作为完整的质量控制程序的一部分，它们能够帮助防止与用户错误、灭菌器</w:t>
      </w:r>
      <w:bookmarkStart w:id="11" w:name="bookmark1"/>
      <w:bookmarkEnd w:id="11"/>
      <w:r>
        <w:rPr>
          <w:rFonts w:hint="eastAsia" w:ascii="Times New Roman" w:hAnsi="宋体"/>
          <w:szCs w:val="21"/>
        </w:rPr>
        <w:t>故障或杀菌剂渗透不充分有关的问题。医疗机构所用灭菌器的良好性能对于防止医院感染很重要。化学指示剂能够为医疗机构提供灭菌过程有效性方面的信息。</w:t>
      </w:r>
    </w:p>
    <w:p w14:paraId="54D19EA1">
      <w:pPr>
        <w:spacing w:before="240" w:line="360" w:lineRule="auto"/>
        <w:rPr>
          <w:rFonts w:ascii="Times New Roman" w:hAnsi="Times New Roman"/>
          <w:szCs w:val="21"/>
        </w:rPr>
      </w:pPr>
      <w:r>
        <w:rPr>
          <w:rFonts w:hint="eastAsia" w:ascii="Times New Roman" w:hAnsi="宋体"/>
          <w:szCs w:val="21"/>
        </w:rPr>
        <w:t>美国食品药品管理局认识到了向提交者以及其他相关方提供该机构对于化学指示剂的建议对于帮助数据收集、保持审查的一致性以及更加高效的监管过程都很重要。本指南的目的是为了向</w:t>
      </w:r>
      <w:r>
        <w:rPr>
          <w:rFonts w:ascii="Times New Roman" w:hAnsi="Times New Roman"/>
          <w:szCs w:val="21"/>
        </w:rPr>
        <w:t>510(k)</w:t>
      </w:r>
      <w:r>
        <w:rPr>
          <w:rFonts w:hint="eastAsia" w:ascii="Times New Roman" w:hAnsi="宋体"/>
          <w:szCs w:val="21"/>
        </w:rPr>
        <w:t>提交者提供他们应该在医疗机构所用化学指示剂的</w:t>
      </w:r>
      <w:r>
        <w:rPr>
          <w:rFonts w:ascii="Times New Roman" w:hAnsi="Times New Roman"/>
          <w:szCs w:val="21"/>
        </w:rPr>
        <w:t>510(k)s</w:t>
      </w:r>
      <w:r>
        <w:rPr>
          <w:rFonts w:hint="eastAsia" w:ascii="Times New Roman" w:hAnsi="宋体"/>
          <w:szCs w:val="21"/>
        </w:rPr>
        <w:t>中包含的信息提供具体的建议。</w:t>
      </w:r>
    </w:p>
    <w:p w14:paraId="002E2383">
      <w:pPr>
        <w:spacing w:before="240" w:line="360" w:lineRule="auto"/>
        <w:rPr>
          <w:rFonts w:ascii="Times New Roman" w:hAnsi="Times New Roman"/>
          <w:szCs w:val="21"/>
        </w:rPr>
      </w:pPr>
      <w:r>
        <w:rPr>
          <w:rFonts w:hint="eastAsia" w:ascii="Times New Roman" w:hAnsi="宋体"/>
          <w:szCs w:val="21"/>
        </w:rPr>
        <w:t>本指南代替</w:t>
      </w:r>
      <w:r>
        <w:rPr>
          <w:rFonts w:ascii="Times New Roman" w:hAnsi="Times New Roman"/>
          <w:szCs w:val="21"/>
        </w:rPr>
        <w:t>2003</w:t>
      </w:r>
      <w:r>
        <w:rPr>
          <w:rFonts w:hint="eastAsia" w:ascii="Times New Roman" w:hAnsi="宋体"/>
          <w:szCs w:val="21"/>
        </w:rPr>
        <w:t>年</w:t>
      </w:r>
      <w:r>
        <w:rPr>
          <w:rFonts w:ascii="Times New Roman" w:hAnsi="Times New Roman"/>
          <w:szCs w:val="21"/>
        </w:rPr>
        <w:t>1</w:t>
      </w:r>
      <w:r>
        <w:rPr>
          <w:rFonts w:hint="eastAsia" w:ascii="Times New Roman" w:hAnsi="宋体"/>
          <w:szCs w:val="21"/>
        </w:rPr>
        <w:t>月</w:t>
      </w:r>
      <w:r>
        <w:rPr>
          <w:rFonts w:ascii="Times New Roman" w:hAnsi="Times New Roman"/>
          <w:szCs w:val="21"/>
        </w:rPr>
        <w:t>27</w:t>
      </w:r>
      <w:r>
        <w:rPr>
          <w:rFonts w:hint="eastAsia" w:ascii="Times New Roman" w:hAnsi="宋体"/>
          <w:szCs w:val="21"/>
        </w:rPr>
        <w:t>日发布的《化学指示剂上市前通知</w:t>
      </w:r>
      <w:r>
        <w:rPr>
          <w:rFonts w:ascii="Times New Roman" w:hAnsi="Times New Roman"/>
          <w:szCs w:val="21"/>
        </w:rPr>
        <w:t>[510(k)]</w:t>
      </w:r>
      <w:r>
        <w:rPr>
          <w:rFonts w:hint="eastAsia" w:ascii="Times New Roman" w:hAnsi="宋体"/>
          <w:szCs w:val="21"/>
        </w:rPr>
        <w:t>提交报告：工业和美国食品药品管理局指南草案》。与之前版本的草案之间没有重大变化。</w:t>
      </w:r>
    </w:p>
    <w:p w14:paraId="65401584">
      <w:pPr>
        <w:spacing w:before="240" w:line="360" w:lineRule="auto"/>
        <w:rPr>
          <w:rFonts w:ascii="Times New Roman" w:hAnsi="Times New Roman"/>
          <w:szCs w:val="21"/>
        </w:rPr>
      </w:pPr>
      <w:r>
        <w:rPr>
          <w:rFonts w:hint="eastAsia" w:ascii="Times New Roman" w:hAnsi="宋体"/>
          <w:szCs w:val="21"/>
        </w:rPr>
        <w:t>包括本指南在内的美国食品药品管理局的指导文件都不产生法律上的责任。相反，指南对目前该机构对一个主题的看法进行了描述，并且只能将其视为建议，除非是对具体监管或法律规定的引用。在该机构的指南中所使用的</w:t>
      </w:r>
      <w:r>
        <w:rPr>
          <w:rFonts w:ascii="Times New Roman" w:hAnsi="Times New Roman"/>
          <w:szCs w:val="21"/>
        </w:rPr>
        <w:t>“</w:t>
      </w:r>
      <w:r>
        <w:rPr>
          <w:rFonts w:hint="eastAsia" w:ascii="Times New Roman" w:hAnsi="宋体"/>
          <w:szCs w:val="21"/>
        </w:rPr>
        <w:t>应该</w:t>
      </w:r>
      <w:r>
        <w:rPr>
          <w:rFonts w:ascii="Times New Roman" w:hAnsi="Times New Roman"/>
          <w:szCs w:val="21"/>
        </w:rPr>
        <w:t>”</w:t>
      </w:r>
      <w:r>
        <w:rPr>
          <w:rFonts w:hint="eastAsia" w:ascii="Times New Roman" w:hAnsi="宋体"/>
          <w:szCs w:val="21"/>
        </w:rPr>
        <w:t>一词意味着建议或推荐，但并不是必须的。</w:t>
      </w:r>
    </w:p>
    <w:p w14:paraId="1F8AABE6">
      <w:pPr>
        <w:pStyle w:val="4"/>
        <w:kinsoku w:val="0"/>
        <w:overflowPunct w:val="0"/>
        <w:adjustRightInd/>
        <w:spacing w:before="240" w:line="360" w:lineRule="auto"/>
        <w:ind w:left="0"/>
        <w:jc w:val="both"/>
        <w:rPr>
          <w:b/>
          <w:bCs/>
          <w:sz w:val="21"/>
          <w:szCs w:val="21"/>
        </w:rPr>
      </w:pPr>
      <w:r>
        <w:rPr>
          <w:rFonts w:hint="eastAsia" w:hAnsi="宋体"/>
          <w:b/>
          <w:bCs/>
          <w:sz w:val="21"/>
          <w:szCs w:val="21"/>
        </w:rPr>
        <w:t>最少工作量法</w:t>
      </w:r>
    </w:p>
    <w:p w14:paraId="4EF741A9">
      <w:pPr>
        <w:spacing w:before="240" w:line="360" w:lineRule="auto"/>
        <w:rPr>
          <w:rFonts w:ascii="Times New Roman" w:hAnsi="Times New Roman"/>
          <w:b/>
          <w:bCs/>
          <w:szCs w:val="21"/>
        </w:rPr>
      </w:pPr>
      <w:r>
        <w:rPr>
          <w:rFonts w:hint="eastAsia" w:ascii="Times New Roman" w:hAnsi="宋体"/>
          <w:szCs w:val="21"/>
        </w:rPr>
        <w:t>本指导性文件中识别出的问题代表了我们认为在您的器械上市之前需要解决的问题。在开发指导性文件时，我们认真考虑了有关管理局决策的相关法定标准。我们也考虑到了在你们执行本指南以及解决我们所确定的事项的过程中可能会承担的责任。我们认为，我们已经考虑到解决指导性文件中所提出问题的最简单方法。但是，如果您认为有可用于解决问题的较简单方法，则应遵循</w:t>
      </w:r>
      <w:r>
        <w:rPr>
          <w:rFonts w:ascii="Times New Roman" w:hAnsi="Times New Roman"/>
          <w:szCs w:val="21"/>
        </w:rPr>
        <w:t>“</w:t>
      </w:r>
      <w:r>
        <w:rPr>
          <w:rFonts w:hint="eastAsia" w:ascii="Times New Roman" w:hAnsi="宋体"/>
          <w:szCs w:val="21"/>
        </w:rPr>
        <w:t>用于解决最简单问题的建议方法</w:t>
      </w:r>
      <w:r>
        <w:rPr>
          <w:rFonts w:ascii="Times New Roman" w:hAnsi="Times New Roman"/>
          <w:szCs w:val="21"/>
        </w:rPr>
        <w:t>”</w:t>
      </w:r>
      <w:r>
        <w:rPr>
          <w:rFonts w:hint="eastAsia" w:ascii="Times New Roman" w:hAnsi="宋体"/>
          <w:szCs w:val="21"/>
        </w:rPr>
        <w:t>文件中所述程序。可在我们的中心网页上查找：</w:t>
      </w:r>
      <w:r>
        <w:fldChar w:fldCharType="begin"/>
      </w:r>
      <w:r>
        <w:instrText xml:space="preserve"> HYPERLINK "http://www.fda.gov/cdrh/modact/leastburdensome.html" </w:instrText>
      </w:r>
      <w:r>
        <w:fldChar w:fldCharType="separate"/>
      </w:r>
      <w:r>
        <w:rPr>
          <w:rFonts w:ascii="Times New Roman" w:hAnsi="Times New Roman"/>
          <w:color w:val="0000FF"/>
          <w:kern w:val="0"/>
          <w:szCs w:val="21"/>
          <w:u w:val="single"/>
        </w:rPr>
        <w:t>http://www.fda.gov/cdrh/modact/leastburdensome.html</w:t>
      </w:r>
      <w:r>
        <w:rPr>
          <w:rFonts w:ascii="Times New Roman" w:hAnsi="Times New Roman"/>
          <w:color w:val="0000FF"/>
          <w:kern w:val="0"/>
          <w:szCs w:val="21"/>
          <w:u w:val="single"/>
        </w:rPr>
        <w:fldChar w:fldCharType="end"/>
      </w:r>
      <w:r>
        <w:rPr>
          <w:rFonts w:hint="eastAsia" w:ascii="Times New Roman" w:hAnsi="宋体"/>
          <w:kern w:val="0"/>
          <w:szCs w:val="21"/>
        </w:rPr>
        <w:t>。</w:t>
      </w:r>
    </w:p>
    <w:p w14:paraId="66A032B2">
      <w:pPr>
        <w:spacing w:before="240" w:line="360" w:lineRule="auto"/>
        <w:outlineLvl w:val="0"/>
        <w:rPr>
          <w:rFonts w:ascii="Times New Roman" w:hAnsi="Times New Roman"/>
          <w:sz w:val="28"/>
          <w:szCs w:val="28"/>
        </w:rPr>
      </w:pPr>
      <w:bookmarkStart w:id="12" w:name="_Toc499728066"/>
      <w:r>
        <w:rPr>
          <w:rFonts w:hint="eastAsia" w:ascii="Times New Roman" w:hAnsi="宋体"/>
          <w:b/>
          <w:bCs/>
          <w:sz w:val="28"/>
          <w:szCs w:val="28"/>
        </w:rPr>
        <w:t>二：背景介绍</w:t>
      </w:r>
      <w:bookmarkEnd w:id="12"/>
    </w:p>
    <w:p w14:paraId="3C890FD8">
      <w:pPr>
        <w:spacing w:before="240" w:line="360" w:lineRule="auto"/>
        <w:ind w:left="420" w:leftChars="200"/>
        <w:outlineLvl w:val="1"/>
        <w:rPr>
          <w:rFonts w:ascii="Times New Roman" w:hAnsi="Times New Roman"/>
          <w:szCs w:val="21"/>
        </w:rPr>
      </w:pPr>
      <w:bookmarkStart w:id="13" w:name="A_Scope"/>
      <w:bookmarkEnd w:id="13"/>
      <w:bookmarkStart w:id="14" w:name="_Toc499728067"/>
      <w:r>
        <w:rPr>
          <w:rFonts w:ascii="Times New Roman" w:hAnsi="Times New Roman"/>
          <w:b/>
          <w:bCs/>
          <w:iCs/>
          <w:szCs w:val="21"/>
        </w:rPr>
        <w:t>A.</w:t>
      </w:r>
      <w:r>
        <w:rPr>
          <w:rFonts w:hint="eastAsia" w:ascii="Times New Roman" w:hAnsi="宋体"/>
          <w:b/>
          <w:bCs/>
          <w:i/>
          <w:iCs/>
          <w:szCs w:val="21"/>
        </w:rPr>
        <w:t>范围</w:t>
      </w:r>
      <w:bookmarkEnd w:id="14"/>
    </w:p>
    <w:p w14:paraId="1B7CDCBB">
      <w:pPr>
        <w:spacing w:line="360" w:lineRule="auto"/>
        <w:ind w:left="420" w:leftChars="200"/>
        <w:rPr>
          <w:rFonts w:ascii="Times New Roman" w:hAnsi="Times New Roman"/>
          <w:szCs w:val="21"/>
        </w:rPr>
      </w:pPr>
      <w:r>
        <w:rPr>
          <w:rFonts w:hint="eastAsia" w:ascii="Times New Roman" w:hAnsi="宋体"/>
          <w:szCs w:val="21"/>
        </w:rPr>
        <w:t>本指南提供了与化学指示剂</w:t>
      </w:r>
      <w:r>
        <w:rPr>
          <w:rFonts w:ascii="Times New Roman" w:hAnsi="Times New Roman"/>
          <w:szCs w:val="21"/>
        </w:rPr>
        <w:t>510(k)</w:t>
      </w:r>
      <w:r>
        <w:rPr>
          <w:rFonts w:hint="eastAsia" w:ascii="Times New Roman" w:hAnsi="宋体"/>
          <w:szCs w:val="21"/>
        </w:rPr>
        <w:t>提交报告的内容和格式有关的指南，医疗机构使用这些指示剂来监视灭菌过程。使用机构所用的化学指示剂为二类器械。产品编号为</w:t>
      </w:r>
      <w:r>
        <w:rPr>
          <w:rFonts w:ascii="Times New Roman" w:hAnsi="Times New Roman"/>
          <w:szCs w:val="21"/>
        </w:rPr>
        <w:t>JOJ</w:t>
      </w:r>
      <w:r>
        <w:rPr>
          <w:rFonts w:hint="eastAsia" w:ascii="Times New Roman" w:hAnsi="宋体"/>
          <w:szCs w:val="21"/>
        </w:rPr>
        <w:t>。根据《美国联邦法规》第二十一章第</w:t>
      </w:r>
      <w:r>
        <w:rPr>
          <w:rFonts w:ascii="Times New Roman" w:hAnsi="Times New Roman"/>
          <w:szCs w:val="21"/>
        </w:rPr>
        <w:t>880.2800(b)</w:t>
      </w:r>
      <w:r>
        <w:rPr>
          <w:rFonts w:hint="eastAsia" w:ascii="Times New Roman" w:hAnsi="宋体"/>
          <w:szCs w:val="21"/>
        </w:rPr>
        <w:t>条的规定，物理</w:t>
      </w:r>
      <w:r>
        <w:rPr>
          <w:rFonts w:ascii="Times New Roman" w:hAnsi="Times New Roman"/>
          <w:szCs w:val="21"/>
        </w:rPr>
        <w:t>/</w:t>
      </w:r>
      <w:r>
        <w:rPr>
          <w:rFonts w:hint="eastAsia" w:ascii="Times New Roman" w:hAnsi="宋体"/>
          <w:szCs w:val="21"/>
        </w:rPr>
        <w:t>化学灭菌过程指示剂确定这些器械为：</w:t>
      </w:r>
    </w:p>
    <w:p w14:paraId="39FABA80">
      <w:pPr>
        <w:spacing w:before="240" w:line="360" w:lineRule="auto"/>
        <w:ind w:left="840" w:leftChars="400"/>
        <w:rPr>
          <w:rFonts w:ascii="Times New Roman" w:hAnsi="Times New Roman"/>
          <w:szCs w:val="21"/>
        </w:rPr>
      </w:pPr>
      <w:bookmarkStart w:id="15" w:name="bookmark2"/>
      <w:bookmarkEnd w:id="15"/>
      <w:r>
        <w:rPr>
          <w:rFonts w:ascii="Times New Roman" w:hAnsi="Times New Roman"/>
          <w:szCs w:val="21"/>
        </w:rPr>
        <w:br w:type="page"/>
      </w:r>
      <w:r>
        <w:rPr>
          <w:rFonts w:hint="eastAsia" w:ascii="Times New Roman" w:hAnsi="宋体"/>
          <w:szCs w:val="21"/>
        </w:rPr>
        <w:t>物理</w:t>
      </w:r>
      <w:r>
        <w:rPr>
          <w:rFonts w:ascii="Times New Roman" w:hAnsi="Times New Roman"/>
          <w:szCs w:val="21"/>
        </w:rPr>
        <w:t>/</w:t>
      </w:r>
      <w:r>
        <w:rPr>
          <w:rFonts w:hint="eastAsia" w:ascii="Times New Roman" w:hAnsi="宋体"/>
          <w:szCs w:val="21"/>
        </w:rPr>
        <w:t>化学指示剂是一种医疗服务人员在灭菌过程中将其和正在灭菌的产品一起使用并对灭菌过程的多个参数进行监视的器械。由这些参数所测得的灭菌情况的充分性会通过器械中的可视变化显示出来。</w:t>
      </w:r>
    </w:p>
    <w:p w14:paraId="3D61CF1A">
      <w:pPr>
        <w:spacing w:before="240" w:line="360" w:lineRule="auto"/>
        <w:ind w:left="420" w:leftChars="200"/>
        <w:rPr>
          <w:rFonts w:ascii="Times New Roman" w:hAnsi="Times New Roman"/>
          <w:szCs w:val="21"/>
          <w:vertAlign w:val="superscript"/>
        </w:rPr>
      </w:pPr>
      <w:r>
        <w:rPr>
          <w:rFonts w:hint="eastAsia" w:ascii="Times New Roman" w:hAnsi="宋体"/>
          <w:szCs w:val="21"/>
        </w:rPr>
        <w:t>美国食品药品管理局已经通过</w:t>
      </w:r>
      <w:r>
        <w:rPr>
          <w:rFonts w:ascii="Times New Roman" w:hAnsi="Times New Roman"/>
          <w:szCs w:val="21"/>
        </w:rPr>
        <w:t>510(k)</w:t>
      </w:r>
      <w:r>
        <w:rPr>
          <w:rFonts w:hint="eastAsia" w:ascii="Times New Roman" w:hAnsi="宋体"/>
          <w:szCs w:val="21"/>
        </w:rPr>
        <w:t>程序批准了下列医疗机构使用的三种化学指示剂：</w:t>
      </w:r>
      <w:r>
        <w:rPr>
          <w:rStyle w:val="16"/>
          <w:rFonts w:ascii="Times New Roman" w:hAnsi="宋体"/>
          <w:szCs w:val="21"/>
        </w:rPr>
        <w:footnoteReference w:id="0"/>
      </w:r>
    </w:p>
    <w:p w14:paraId="097B73EA">
      <w:pPr>
        <w:pStyle w:val="19"/>
        <w:numPr>
          <w:ilvl w:val="0"/>
          <w:numId w:val="1"/>
        </w:numPr>
        <w:spacing w:line="360" w:lineRule="auto"/>
        <w:ind w:left="840" w:leftChars="400" w:firstLineChars="0"/>
        <w:rPr>
          <w:rFonts w:ascii="Times New Roman" w:hAnsi="Times New Roman"/>
          <w:szCs w:val="21"/>
        </w:rPr>
      </w:pPr>
      <w:r>
        <w:rPr>
          <w:rFonts w:hint="eastAsia" w:ascii="Times New Roman" w:hAnsi="宋体"/>
          <w:szCs w:val="21"/>
        </w:rPr>
        <w:t>过程指示剂</w:t>
      </w:r>
    </w:p>
    <w:p w14:paraId="5AE6426C">
      <w:pPr>
        <w:pStyle w:val="19"/>
        <w:numPr>
          <w:ilvl w:val="0"/>
          <w:numId w:val="1"/>
        </w:numPr>
        <w:spacing w:line="360" w:lineRule="auto"/>
        <w:ind w:left="840" w:leftChars="400" w:firstLineChars="0"/>
        <w:rPr>
          <w:rFonts w:ascii="Times New Roman" w:hAnsi="Times New Roman"/>
          <w:szCs w:val="21"/>
        </w:rPr>
      </w:pPr>
      <w:r>
        <w:rPr>
          <w:rFonts w:hint="eastAsia" w:ascii="Times New Roman" w:hAnsi="宋体"/>
          <w:szCs w:val="21"/>
        </w:rPr>
        <w:t>化学积分器</w:t>
      </w:r>
    </w:p>
    <w:p w14:paraId="3E550065">
      <w:pPr>
        <w:pStyle w:val="19"/>
        <w:numPr>
          <w:ilvl w:val="0"/>
          <w:numId w:val="1"/>
        </w:numPr>
        <w:spacing w:line="360" w:lineRule="auto"/>
        <w:ind w:left="840" w:leftChars="400" w:firstLineChars="0"/>
        <w:rPr>
          <w:rFonts w:ascii="Times New Roman" w:hAnsi="Times New Roman"/>
          <w:szCs w:val="21"/>
        </w:rPr>
      </w:pPr>
      <w:r>
        <w:rPr>
          <w:rFonts w:hint="eastAsia" w:ascii="Times New Roman" w:hAnsi="宋体"/>
          <w:szCs w:val="21"/>
        </w:rPr>
        <w:t>测试包中的排气指示剂</w:t>
      </w:r>
    </w:p>
    <w:p w14:paraId="20B4461C">
      <w:pPr>
        <w:spacing w:before="240" w:line="360" w:lineRule="auto"/>
        <w:ind w:left="420" w:leftChars="200"/>
        <w:rPr>
          <w:rFonts w:ascii="Times New Roman" w:hAnsi="Times New Roman"/>
          <w:szCs w:val="21"/>
        </w:rPr>
      </w:pPr>
      <w:r>
        <w:rPr>
          <w:rFonts w:hint="eastAsia" w:ascii="Times New Roman" w:hAnsi="宋体"/>
          <w:szCs w:val="21"/>
        </w:rPr>
        <w:t>因此，本指南只介绍了这三种化学指示剂。</w:t>
      </w:r>
    </w:p>
    <w:p w14:paraId="166A0BA2">
      <w:pPr>
        <w:spacing w:before="240" w:line="360" w:lineRule="auto"/>
        <w:ind w:left="420" w:leftChars="200"/>
        <w:rPr>
          <w:rFonts w:ascii="Times New Roman" w:hAnsi="Times New Roman"/>
          <w:szCs w:val="21"/>
        </w:rPr>
      </w:pPr>
      <w:r>
        <w:rPr>
          <w:rFonts w:hint="eastAsia" w:ascii="Times New Roman" w:hAnsi="宋体"/>
          <w:szCs w:val="21"/>
        </w:rPr>
        <w:t>在提交化学指示剂</w:t>
      </w:r>
      <w:r>
        <w:rPr>
          <w:rFonts w:ascii="Times New Roman" w:hAnsi="Times New Roman"/>
          <w:szCs w:val="21"/>
        </w:rPr>
        <w:t>510(k)</w:t>
      </w:r>
      <w:r>
        <w:rPr>
          <w:rFonts w:hint="eastAsia" w:ascii="Times New Roman" w:hAnsi="宋体"/>
          <w:szCs w:val="21"/>
        </w:rPr>
        <w:t>之前，如果有任何问题，美国食品药品管理局建议</w:t>
      </w:r>
      <w:r>
        <w:rPr>
          <w:rFonts w:ascii="Times New Roman" w:hAnsi="Times New Roman"/>
          <w:szCs w:val="21"/>
        </w:rPr>
        <w:t>510(k)</w:t>
      </w:r>
      <w:r>
        <w:rPr>
          <w:rFonts w:hint="eastAsia" w:ascii="Times New Roman" w:hAnsi="宋体"/>
          <w:szCs w:val="21"/>
        </w:rPr>
        <w:t>提交者与小型制造商、国际与消费者辅助部门或器械评价办公室麻醉学、综合医院、感染控制和牙科器械部门感染控制器械分部取得联系。</w:t>
      </w:r>
    </w:p>
    <w:p w14:paraId="71B59C56">
      <w:pPr>
        <w:spacing w:before="240" w:line="360" w:lineRule="auto"/>
        <w:ind w:left="420" w:leftChars="200"/>
        <w:outlineLvl w:val="1"/>
        <w:rPr>
          <w:rFonts w:ascii="Times New Roman" w:hAnsi="Times New Roman"/>
          <w:szCs w:val="21"/>
        </w:rPr>
      </w:pPr>
      <w:bookmarkStart w:id="16" w:name="Exclusions"/>
      <w:bookmarkEnd w:id="16"/>
      <w:bookmarkStart w:id="17" w:name="_Toc499728068"/>
      <w:r>
        <w:rPr>
          <w:rFonts w:ascii="Times New Roman" w:hAnsi="Times New Roman"/>
          <w:b/>
          <w:bCs/>
          <w:iCs/>
          <w:szCs w:val="21"/>
        </w:rPr>
        <w:t>B.</w:t>
      </w:r>
      <w:r>
        <w:rPr>
          <w:rFonts w:hint="eastAsia" w:ascii="Times New Roman" w:hAnsi="宋体"/>
          <w:b/>
          <w:bCs/>
          <w:i/>
          <w:iCs/>
          <w:szCs w:val="21"/>
        </w:rPr>
        <w:t>排除</w:t>
      </w:r>
      <w:bookmarkEnd w:id="17"/>
    </w:p>
    <w:p w14:paraId="6BF920D1">
      <w:pPr>
        <w:spacing w:line="360" w:lineRule="auto"/>
        <w:ind w:left="420" w:leftChars="200"/>
        <w:rPr>
          <w:rFonts w:ascii="Times New Roman" w:hAnsi="Times New Roman"/>
          <w:szCs w:val="21"/>
        </w:rPr>
      </w:pPr>
      <w:r>
        <w:rPr>
          <w:rFonts w:hint="eastAsia" w:ascii="Times New Roman" w:hAnsi="宋体"/>
          <w:szCs w:val="21"/>
        </w:rPr>
        <w:t>本文件不包括下列化学指示剂以及指示剂相关的产品：</w:t>
      </w:r>
    </w:p>
    <w:p w14:paraId="5B4B93F7">
      <w:pPr>
        <w:pStyle w:val="19"/>
        <w:numPr>
          <w:ilvl w:val="0"/>
          <w:numId w:val="2"/>
        </w:numPr>
        <w:spacing w:line="360" w:lineRule="auto"/>
        <w:ind w:left="840" w:leftChars="400" w:firstLineChars="0"/>
        <w:rPr>
          <w:rFonts w:ascii="Times New Roman" w:hAnsi="Times New Roman"/>
          <w:szCs w:val="21"/>
          <w:vertAlign w:val="superscript"/>
        </w:rPr>
      </w:pPr>
      <w:r>
        <w:rPr>
          <w:rFonts w:hint="eastAsia" w:ascii="Times New Roman" w:hAnsi="宋体"/>
          <w:szCs w:val="21"/>
        </w:rPr>
        <w:t>与液态化学灭菌剂一起使用的化学指示剂</w:t>
      </w:r>
      <w:r>
        <w:rPr>
          <w:rStyle w:val="16"/>
          <w:rFonts w:ascii="Times New Roman" w:hAnsi="宋体"/>
          <w:szCs w:val="21"/>
        </w:rPr>
        <w:footnoteReference w:id="1"/>
      </w:r>
    </w:p>
    <w:p w14:paraId="113FB631">
      <w:pPr>
        <w:pStyle w:val="19"/>
        <w:numPr>
          <w:ilvl w:val="0"/>
          <w:numId w:val="2"/>
        </w:numPr>
        <w:spacing w:line="360" w:lineRule="auto"/>
        <w:ind w:left="840" w:leftChars="400" w:firstLineChars="0"/>
        <w:rPr>
          <w:rFonts w:ascii="Times New Roman" w:hAnsi="Times New Roman"/>
          <w:szCs w:val="21"/>
        </w:rPr>
      </w:pPr>
      <w:r>
        <w:rPr>
          <w:rFonts w:hint="eastAsia" w:ascii="Times New Roman" w:hAnsi="宋体"/>
          <w:szCs w:val="21"/>
        </w:rPr>
        <w:t>在制造地点使用的化学指示剂</w:t>
      </w:r>
    </w:p>
    <w:p w14:paraId="2400D433">
      <w:pPr>
        <w:pStyle w:val="19"/>
        <w:numPr>
          <w:ilvl w:val="0"/>
          <w:numId w:val="2"/>
        </w:numPr>
        <w:spacing w:line="360" w:lineRule="auto"/>
        <w:ind w:left="840" w:leftChars="400" w:firstLineChars="0"/>
        <w:rPr>
          <w:rFonts w:ascii="Times New Roman" w:hAnsi="Times New Roman"/>
          <w:szCs w:val="21"/>
        </w:rPr>
      </w:pPr>
      <w:r>
        <w:rPr>
          <w:rFonts w:hint="eastAsia" w:ascii="Times New Roman" w:hAnsi="宋体"/>
          <w:szCs w:val="21"/>
        </w:rPr>
        <w:t>用于辐射灭菌的化学指示剂。</w:t>
      </w:r>
    </w:p>
    <w:p w14:paraId="27D1A76D">
      <w:pPr>
        <w:spacing w:before="240" w:line="360" w:lineRule="auto"/>
        <w:ind w:left="420" w:leftChars="200"/>
        <w:outlineLvl w:val="1"/>
        <w:rPr>
          <w:rFonts w:ascii="Times New Roman" w:hAnsi="Times New Roman"/>
          <w:szCs w:val="21"/>
        </w:rPr>
      </w:pPr>
      <w:bookmarkStart w:id="18" w:name="C_Definitions"/>
      <w:bookmarkEnd w:id="18"/>
      <w:bookmarkStart w:id="19" w:name="_Toc499728069"/>
      <w:r>
        <w:rPr>
          <w:rFonts w:ascii="Times New Roman" w:hAnsi="Times New Roman"/>
          <w:b/>
          <w:bCs/>
          <w:iCs/>
          <w:szCs w:val="21"/>
        </w:rPr>
        <w:t>C.</w:t>
      </w:r>
      <w:r>
        <w:rPr>
          <w:rFonts w:hint="eastAsia" w:ascii="Times New Roman" w:hAnsi="宋体"/>
          <w:b/>
          <w:bCs/>
          <w:i/>
          <w:iCs/>
          <w:szCs w:val="21"/>
        </w:rPr>
        <w:t>定义</w:t>
      </w:r>
      <w:bookmarkEnd w:id="19"/>
    </w:p>
    <w:p w14:paraId="381EA7BF">
      <w:pPr>
        <w:spacing w:line="360" w:lineRule="auto"/>
        <w:ind w:left="420" w:leftChars="200"/>
        <w:rPr>
          <w:rFonts w:ascii="Times New Roman" w:hAnsi="Times New Roman"/>
          <w:szCs w:val="21"/>
        </w:rPr>
      </w:pPr>
      <w:r>
        <w:rPr>
          <w:rFonts w:hint="eastAsia" w:ascii="Times New Roman" w:hAnsi="宋体"/>
          <w:szCs w:val="21"/>
        </w:rPr>
        <w:t>下列是本文件中所使用的术语有关的定义。许多术语都已经被国际标准化组织（</w:t>
      </w:r>
      <w:r>
        <w:rPr>
          <w:rFonts w:ascii="Times New Roman" w:hAnsi="Times New Roman"/>
          <w:szCs w:val="21"/>
        </w:rPr>
        <w:t>ISO</w:t>
      </w:r>
      <w:r>
        <w:rPr>
          <w:rFonts w:hint="eastAsia" w:ascii="Times New Roman" w:hAnsi="宋体"/>
          <w:szCs w:val="21"/>
        </w:rPr>
        <w:t>）、美国国家标准学会（</w:t>
      </w:r>
      <w:r>
        <w:rPr>
          <w:rFonts w:ascii="Times New Roman" w:hAnsi="Times New Roman"/>
          <w:szCs w:val="21"/>
        </w:rPr>
        <w:t>ANSI</w:t>
      </w:r>
      <w:r>
        <w:rPr>
          <w:rFonts w:hint="eastAsia" w:ascii="Times New Roman" w:hAnsi="宋体"/>
          <w:szCs w:val="21"/>
        </w:rPr>
        <w:t>）以及美国医疗器械促进协会（</w:t>
      </w:r>
      <w:r>
        <w:rPr>
          <w:rFonts w:ascii="Times New Roman" w:hAnsi="Times New Roman"/>
          <w:szCs w:val="21"/>
        </w:rPr>
        <w:t>AAMI</w:t>
      </w:r>
      <w:r>
        <w:rPr>
          <w:rFonts w:hint="eastAsia" w:ascii="Times New Roman" w:hAnsi="宋体"/>
          <w:szCs w:val="21"/>
        </w:rPr>
        <w:t>）标准化。每一个定义所引用的标准的全文参见</w:t>
      </w:r>
      <w:r>
        <w:rPr>
          <w:rFonts w:ascii="Times New Roman" w:hAnsi="Times New Roman"/>
          <w:b/>
          <w:bCs/>
          <w:szCs w:val="21"/>
        </w:rPr>
        <w:t>XII.</w:t>
      </w:r>
      <w:r>
        <w:rPr>
          <w:rFonts w:hint="eastAsia" w:ascii="Times New Roman" w:hAnsi="宋体"/>
          <w:b/>
          <w:szCs w:val="21"/>
        </w:rPr>
        <w:t>参考文献</w:t>
      </w:r>
      <w:r>
        <w:rPr>
          <w:rFonts w:hint="eastAsia" w:ascii="Times New Roman" w:hAnsi="宋体"/>
          <w:szCs w:val="21"/>
        </w:rPr>
        <w:t>。</w:t>
      </w:r>
    </w:p>
    <w:p w14:paraId="2A79BD66">
      <w:pPr>
        <w:spacing w:before="240" w:line="360" w:lineRule="auto"/>
        <w:ind w:left="840" w:leftChars="400"/>
        <w:rPr>
          <w:rFonts w:ascii="Times New Roman" w:hAnsi="Times New Roman"/>
          <w:szCs w:val="21"/>
        </w:rPr>
      </w:pPr>
      <w:r>
        <w:rPr>
          <w:rFonts w:ascii="Times New Roman" w:hAnsi="Times New Roman"/>
          <w:szCs w:val="21"/>
        </w:rPr>
        <w:br w:type="page"/>
      </w:r>
      <w:r>
        <w:rPr>
          <w:rFonts w:hint="eastAsia" w:ascii="Times New Roman" w:hAnsi="宋体"/>
          <w:b/>
          <w:bCs/>
          <w:szCs w:val="21"/>
        </w:rPr>
        <w:t>排气指示剂：</w:t>
      </w:r>
      <w:r>
        <w:rPr>
          <w:rFonts w:hint="eastAsia" w:ascii="Times New Roman" w:hAnsi="宋体"/>
          <w:szCs w:val="21"/>
        </w:rPr>
        <w:t>在标准测试包中使用以判断蒸汽灭菌过程中排气阶段有效性的化学指示剂。（美国国家标准学会</w:t>
      </w:r>
      <w:r>
        <w:rPr>
          <w:rFonts w:ascii="Times New Roman" w:hAnsi="Times New Roman"/>
          <w:szCs w:val="21"/>
        </w:rPr>
        <w:t>/</w:t>
      </w:r>
      <w:r>
        <w:rPr>
          <w:rFonts w:hint="eastAsia" w:ascii="Times New Roman" w:hAnsi="宋体"/>
          <w:szCs w:val="21"/>
        </w:rPr>
        <w:t>美国医疗器械促进协会，</w:t>
      </w:r>
      <w:r>
        <w:rPr>
          <w:rFonts w:ascii="Times New Roman" w:hAnsi="Times New Roman"/>
          <w:szCs w:val="21"/>
        </w:rPr>
        <w:t>1999</w:t>
      </w:r>
      <w:r>
        <w:rPr>
          <w:rFonts w:hint="eastAsia" w:ascii="Times New Roman" w:hAnsi="宋体"/>
          <w:szCs w:val="21"/>
        </w:rPr>
        <w:t>年）</w:t>
      </w:r>
    </w:p>
    <w:p w14:paraId="0EDD9579">
      <w:pPr>
        <w:spacing w:before="240" w:line="360" w:lineRule="auto"/>
        <w:ind w:left="840" w:leftChars="400"/>
        <w:rPr>
          <w:rFonts w:ascii="Times New Roman" w:hAnsi="Times New Roman"/>
          <w:szCs w:val="21"/>
        </w:rPr>
      </w:pPr>
      <w:r>
        <w:rPr>
          <w:rFonts w:hint="eastAsia" w:ascii="Times New Roman" w:hAnsi="宋体"/>
          <w:b/>
          <w:bCs/>
          <w:szCs w:val="21"/>
        </w:rPr>
        <w:t>生物指示剂：</w:t>
      </w:r>
      <w:r>
        <w:rPr>
          <w:rFonts w:hint="eastAsia" w:ascii="Times New Roman" w:hAnsi="宋体"/>
          <w:szCs w:val="21"/>
        </w:rPr>
        <w:t>为给定的灭菌过程提供一定抵抗力的微生物测试系统。（美国国家标准学会</w:t>
      </w:r>
      <w:r>
        <w:rPr>
          <w:rFonts w:ascii="Times New Roman" w:hAnsi="Times New Roman"/>
          <w:szCs w:val="21"/>
        </w:rPr>
        <w:t>/</w:t>
      </w:r>
      <w:r>
        <w:rPr>
          <w:rFonts w:hint="eastAsia" w:ascii="Times New Roman" w:hAnsi="宋体"/>
          <w:szCs w:val="21"/>
        </w:rPr>
        <w:t>美国医疗器械促进协会</w:t>
      </w:r>
      <w:r>
        <w:rPr>
          <w:rFonts w:ascii="Times New Roman" w:hAnsi="Times New Roman"/>
          <w:szCs w:val="21"/>
        </w:rPr>
        <w:t>/</w:t>
      </w:r>
      <w:r>
        <w:rPr>
          <w:rFonts w:hint="eastAsia" w:ascii="Times New Roman" w:hAnsi="宋体"/>
          <w:szCs w:val="21"/>
        </w:rPr>
        <w:t>国际标准化组织，</w:t>
      </w:r>
      <w:r>
        <w:rPr>
          <w:rFonts w:ascii="Times New Roman" w:hAnsi="Times New Roman"/>
          <w:szCs w:val="21"/>
        </w:rPr>
        <w:t>2002</w:t>
      </w:r>
      <w:r>
        <w:rPr>
          <w:rFonts w:hint="eastAsia" w:ascii="Times New Roman" w:hAnsi="宋体"/>
          <w:szCs w:val="21"/>
        </w:rPr>
        <w:t>年）</w:t>
      </w:r>
    </w:p>
    <w:p w14:paraId="4E0791E3">
      <w:pPr>
        <w:spacing w:before="240" w:line="360" w:lineRule="auto"/>
        <w:ind w:left="840" w:leftChars="400"/>
        <w:rPr>
          <w:rFonts w:ascii="Times New Roman" w:hAnsi="Times New Roman"/>
          <w:szCs w:val="21"/>
        </w:rPr>
      </w:pPr>
      <w:r>
        <w:rPr>
          <w:rFonts w:ascii="Times New Roman" w:hAnsi="Times New Roman"/>
          <w:b/>
          <w:bCs/>
          <w:szCs w:val="21"/>
        </w:rPr>
        <w:t>Bowie Dick</w:t>
      </w:r>
      <w:r>
        <w:rPr>
          <w:rFonts w:hint="eastAsia" w:ascii="Times New Roman" w:hAnsi="宋体"/>
          <w:b/>
          <w:bCs/>
          <w:szCs w:val="21"/>
        </w:rPr>
        <w:t>测试：</w:t>
      </w:r>
      <w:r>
        <w:rPr>
          <w:rFonts w:hint="eastAsia" w:ascii="Times New Roman" w:hAnsi="宋体"/>
          <w:szCs w:val="21"/>
        </w:rPr>
        <w:t>动态排气蒸汽灭菌器从室内排气以及防止空气二次夹带能力的诊断测试。（美国国家标准学会</w:t>
      </w:r>
      <w:r>
        <w:rPr>
          <w:rFonts w:ascii="Times New Roman" w:hAnsi="Times New Roman"/>
          <w:szCs w:val="21"/>
        </w:rPr>
        <w:t>/</w:t>
      </w:r>
      <w:r>
        <w:rPr>
          <w:rFonts w:hint="eastAsia" w:ascii="Times New Roman" w:hAnsi="宋体"/>
          <w:szCs w:val="21"/>
        </w:rPr>
        <w:t>美国医疗器械促进协会，</w:t>
      </w:r>
      <w:r>
        <w:rPr>
          <w:rFonts w:ascii="Times New Roman" w:hAnsi="Times New Roman"/>
          <w:szCs w:val="21"/>
        </w:rPr>
        <w:t>2002</w:t>
      </w:r>
      <w:r>
        <w:rPr>
          <w:rFonts w:hint="eastAsia" w:ascii="Times New Roman" w:hAnsi="宋体"/>
          <w:szCs w:val="21"/>
        </w:rPr>
        <w:t>年）</w:t>
      </w:r>
    </w:p>
    <w:p w14:paraId="3230EED9">
      <w:pPr>
        <w:spacing w:before="240" w:line="360" w:lineRule="auto"/>
        <w:ind w:left="840" w:leftChars="400"/>
        <w:rPr>
          <w:rFonts w:ascii="Times New Roman" w:hAnsi="Times New Roman"/>
          <w:szCs w:val="21"/>
        </w:rPr>
      </w:pPr>
      <w:r>
        <w:rPr>
          <w:rFonts w:hint="eastAsia" w:ascii="Times New Roman" w:hAnsi="宋体"/>
          <w:b/>
          <w:bCs/>
          <w:szCs w:val="21"/>
        </w:rPr>
        <w:t>化学指示剂：</w:t>
      </w:r>
      <w:r>
        <w:rPr>
          <w:rFonts w:hint="eastAsia" w:ascii="Times New Roman" w:hAnsi="宋体"/>
          <w:szCs w:val="21"/>
        </w:rPr>
        <w:t>在暴露于一个过程所造成的化学或物理变化的基础上揭示一个或多个预先定义的过程变量的系统。（美国国家标准学会</w:t>
      </w:r>
      <w:r>
        <w:rPr>
          <w:rFonts w:ascii="Times New Roman" w:hAnsi="Times New Roman"/>
          <w:szCs w:val="21"/>
        </w:rPr>
        <w:t>/</w:t>
      </w:r>
      <w:r>
        <w:rPr>
          <w:rFonts w:hint="eastAsia" w:ascii="Times New Roman" w:hAnsi="宋体"/>
          <w:szCs w:val="21"/>
        </w:rPr>
        <w:t>美国医疗器械促进协会</w:t>
      </w:r>
      <w:r>
        <w:rPr>
          <w:rFonts w:ascii="Times New Roman" w:hAnsi="Times New Roman"/>
          <w:szCs w:val="21"/>
        </w:rPr>
        <w:t>/</w:t>
      </w:r>
      <w:r>
        <w:rPr>
          <w:rFonts w:hint="eastAsia" w:ascii="Times New Roman" w:hAnsi="宋体"/>
          <w:szCs w:val="21"/>
        </w:rPr>
        <w:t>国际标准化组织，</w:t>
      </w:r>
      <w:r>
        <w:rPr>
          <w:rFonts w:ascii="Times New Roman" w:hAnsi="Times New Roman"/>
          <w:szCs w:val="21"/>
        </w:rPr>
        <w:t>2002</w:t>
      </w:r>
      <w:r>
        <w:rPr>
          <w:rFonts w:hint="eastAsia" w:ascii="Times New Roman" w:hAnsi="宋体"/>
          <w:szCs w:val="21"/>
        </w:rPr>
        <w:t>年）</w:t>
      </w:r>
    </w:p>
    <w:p w14:paraId="440C848D">
      <w:pPr>
        <w:spacing w:before="240" w:line="360" w:lineRule="auto"/>
        <w:ind w:left="840" w:leftChars="400"/>
        <w:rPr>
          <w:rFonts w:ascii="Times New Roman" w:hAnsi="Times New Roman"/>
          <w:szCs w:val="21"/>
        </w:rPr>
      </w:pPr>
      <w:r>
        <w:rPr>
          <w:rFonts w:hint="eastAsia" w:ascii="Times New Roman" w:hAnsi="宋体"/>
          <w:b/>
          <w:bCs/>
          <w:szCs w:val="21"/>
        </w:rPr>
        <w:t>化学积分器：</w:t>
      </w:r>
      <w:r>
        <w:rPr>
          <w:rFonts w:hint="eastAsia" w:ascii="Times New Roman" w:hAnsi="宋体"/>
          <w:szCs w:val="21"/>
        </w:rPr>
        <w:t>化学积分器是设计用来在灭菌周期的指定范围内对所有临界参数做出反应。（美国国家标准学会</w:t>
      </w:r>
      <w:r>
        <w:rPr>
          <w:rFonts w:ascii="Times New Roman" w:hAnsi="Times New Roman"/>
          <w:szCs w:val="21"/>
        </w:rPr>
        <w:t>/</w:t>
      </w:r>
      <w:r>
        <w:rPr>
          <w:rFonts w:hint="eastAsia" w:ascii="Times New Roman" w:hAnsi="宋体"/>
          <w:szCs w:val="21"/>
        </w:rPr>
        <w:t>美国医疗器械促进协会，</w:t>
      </w:r>
      <w:r>
        <w:rPr>
          <w:rFonts w:ascii="Times New Roman" w:hAnsi="Times New Roman"/>
          <w:szCs w:val="21"/>
        </w:rPr>
        <w:t>1996</w:t>
      </w:r>
      <w:r>
        <w:rPr>
          <w:rFonts w:hint="eastAsia" w:ascii="Times New Roman" w:hAnsi="宋体"/>
          <w:szCs w:val="21"/>
        </w:rPr>
        <w:t>年）</w:t>
      </w:r>
    </w:p>
    <w:p w14:paraId="4A32E21E">
      <w:pPr>
        <w:spacing w:before="240" w:line="360" w:lineRule="auto"/>
        <w:ind w:left="840" w:leftChars="400"/>
        <w:rPr>
          <w:rFonts w:ascii="Times New Roman" w:hAnsi="Times New Roman"/>
          <w:szCs w:val="21"/>
        </w:rPr>
      </w:pPr>
      <w:r>
        <w:rPr>
          <w:rFonts w:hint="eastAsia" w:ascii="Times New Roman" w:hAnsi="宋体"/>
          <w:b/>
          <w:bCs/>
          <w:szCs w:val="21"/>
        </w:rPr>
        <w:t>临界参数：</w:t>
      </w:r>
      <w:r>
        <w:rPr>
          <w:rFonts w:hint="eastAsia" w:ascii="Times New Roman" w:hAnsi="宋体"/>
          <w:szCs w:val="21"/>
        </w:rPr>
        <w:t>已经确定的对灭菌过程很重要的参数。（美国国家标准学会</w:t>
      </w:r>
      <w:r>
        <w:rPr>
          <w:rFonts w:ascii="Times New Roman" w:hAnsi="Times New Roman"/>
          <w:szCs w:val="21"/>
        </w:rPr>
        <w:t>/</w:t>
      </w:r>
      <w:r>
        <w:rPr>
          <w:rFonts w:hint="eastAsia" w:ascii="Times New Roman" w:hAnsi="宋体"/>
          <w:szCs w:val="21"/>
        </w:rPr>
        <w:t>美国医疗器械促进协会，</w:t>
      </w:r>
      <w:r>
        <w:rPr>
          <w:rFonts w:ascii="Times New Roman" w:hAnsi="Times New Roman"/>
          <w:szCs w:val="21"/>
        </w:rPr>
        <w:t>1996</w:t>
      </w:r>
      <w:r>
        <w:rPr>
          <w:rFonts w:hint="eastAsia" w:ascii="Times New Roman" w:hAnsi="宋体"/>
          <w:szCs w:val="21"/>
        </w:rPr>
        <w:t>年）</w:t>
      </w:r>
    </w:p>
    <w:p w14:paraId="09312CBD">
      <w:pPr>
        <w:spacing w:before="240" w:line="360" w:lineRule="auto"/>
        <w:ind w:left="840" w:leftChars="400"/>
        <w:rPr>
          <w:rFonts w:ascii="Times New Roman" w:hAnsi="Times New Roman"/>
          <w:szCs w:val="21"/>
        </w:rPr>
      </w:pPr>
      <w:r>
        <w:rPr>
          <w:rFonts w:hint="eastAsia" w:ascii="Times New Roman" w:hAnsi="宋体"/>
          <w:b/>
          <w:bCs/>
          <w:szCs w:val="21"/>
        </w:rPr>
        <w:t>差值：</w:t>
      </w:r>
      <w:r>
        <w:rPr>
          <w:rFonts w:hint="eastAsia" w:ascii="Times New Roman" w:hAnsi="宋体"/>
          <w:szCs w:val="21"/>
        </w:rPr>
        <w:t>在规定的暴露条件下使</w:t>
      </w:r>
      <w:r>
        <w:rPr>
          <w:rFonts w:ascii="Times New Roman" w:hAnsi="Times New Roman"/>
          <w:szCs w:val="21"/>
        </w:rPr>
        <w:t>90%</w:t>
      </w:r>
      <w:r>
        <w:rPr>
          <w:rFonts w:hint="eastAsia" w:ascii="Times New Roman" w:hAnsi="宋体"/>
          <w:szCs w:val="21"/>
        </w:rPr>
        <w:t>的测试微生物失活所需要的时间和辐射剂量</w:t>
      </w:r>
      <w:r>
        <w:rPr>
          <w:rStyle w:val="16"/>
          <w:rFonts w:ascii="Times New Roman" w:hAnsi="宋体"/>
          <w:szCs w:val="21"/>
        </w:rPr>
        <w:footnoteReference w:id="2"/>
      </w:r>
      <w:r>
        <w:rPr>
          <w:rFonts w:hint="eastAsia" w:ascii="Times New Roman" w:hAnsi="宋体"/>
          <w:szCs w:val="21"/>
        </w:rPr>
        <w:t>。（美国国家标准学会</w:t>
      </w:r>
      <w:r>
        <w:rPr>
          <w:rFonts w:ascii="Times New Roman" w:hAnsi="Times New Roman"/>
          <w:szCs w:val="21"/>
        </w:rPr>
        <w:t>/</w:t>
      </w:r>
      <w:r>
        <w:rPr>
          <w:rFonts w:hint="eastAsia" w:ascii="Times New Roman" w:hAnsi="宋体"/>
          <w:szCs w:val="21"/>
        </w:rPr>
        <w:t>美国医疗器械促进协会</w:t>
      </w:r>
      <w:r>
        <w:rPr>
          <w:rFonts w:ascii="Times New Roman" w:hAnsi="Times New Roman"/>
          <w:szCs w:val="21"/>
        </w:rPr>
        <w:t>/</w:t>
      </w:r>
      <w:r>
        <w:rPr>
          <w:rFonts w:hint="eastAsia" w:ascii="Times New Roman" w:hAnsi="宋体"/>
          <w:szCs w:val="21"/>
        </w:rPr>
        <w:t>国际标准化组织，</w:t>
      </w:r>
      <w:r>
        <w:rPr>
          <w:rFonts w:ascii="Times New Roman" w:hAnsi="Times New Roman"/>
          <w:szCs w:val="21"/>
        </w:rPr>
        <w:t>2002</w:t>
      </w:r>
      <w:r>
        <w:rPr>
          <w:rFonts w:hint="eastAsia" w:ascii="Times New Roman" w:hAnsi="宋体"/>
          <w:szCs w:val="21"/>
        </w:rPr>
        <w:t>年）</w:t>
      </w:r>
    </w:p>
    <w:p w14:paraId="24AD62AF">
      <w:pPr>
        <w:spacing w:before="240" w:line="360" w:lineRule="auto"/>
        <w:ind w:left="840" w:leftChars="400"/>
        <w:rPr>
          <w:rFonts w:ascii="Times New Roman" w:hAnsi="Times New Roman"/>
          <w:szCs w:val="21"/>
        </w:rPr>
      </w:pPr>
      <w:r>
        <w:rPr>
          <w:rFonts w:hint="eastAsia" w:ascii="Times New Roman" w:hAnsi="宋体"/>
          <w:b/>
          <w:bCs/>
          <w:szCs w:val="21"/>
        </w:rPr>
        <w:t>终点：</w:t>
      </w:r>
      <w:r>
        <w:rPr>
          <w:rFonts w:hint="eastAsia" w:ascii="Times New Roman" w:hAnsi="宋体"/>
          <w:szCs w:val="21"/>
        </w:rPr>
        <w:t>制造商所规定的在化学指示剂暴露到某一预先定义的物理状态之后出现的可见变化。（美国国家标准学会</w:t>
      </w:r>
      <w:r>
        <w:rPr>
          <w:rFonts w:ascii="Times New Roman" w:hAnsi="Times New Roman"/>
          <w:szCs w:val="21"/>
        </w:rPr>
        <w:t>/</w:t>
      </w:r>
      <w:r>
        <w:rPr>
          <w:rFonts w:hint="eastAsia" w:ascii="Times New Roman" w:hAnsi="宋体"/>
          <w:szCs w:val="21"/>
        </w:rPr>
        <w:t>美国医疗器械促进协会，</w:t>
      </w:r>
      <w:r>
        <w:rPr>
          <w:rFonts w:ascii="Times New Roman" w:hAnsi="Times New Roman"/>
          <w:szCs w:val="21"/>
        </w:rPr>
        <w:t>1996</w:t>
      </w:r>
      <w:r>
        <w:rPr>
          <w:rFonts w:hint="eastAsia" w:ascii="Times New Roman" w:hAnsi="宋体"/>
          <w:szCs w:val="21"/>
        </w:rPr>
        <w:t>年）</w:t>
      </w:r>
    </w:p>
    <w:p w14:paraId="01F8F82A">
      <w:pPr>
        <w:spacing w:before="240" w:line="360" w:lineRule="auto"/>
        <w:ind w:left="840" w:leftChars="400"/>
        <w:rPr>
          <w:rFonts w:ascii="Times New Roman" w:hAnsi="Times New Roman"/>
          <w:szCs w:val="21"/>
        </w:rPr>
      </w:pPr>
      <w:r>
        <w:rPr>
          <w:rFonts w:hint="eastAsia" w:ascii="Times New Roman" w:hAnsi="宋体"/>
          <w:b/>
          <w:bCs/>
          <w:szCs w:val="21"/>
        </w:rPr>
        <w:t>指示剂：</w:t>
      </w:r>
      <w:r>
        <w:rPr>
          <w:rFonts w:hint="eastAsia" w:ascii="Times New Roman" w:hAnsi="宋体"/>
          <w:szCs w:val="21"/>
        </w:rPr>
        <w:t>化学指示剂中所包含的活性成分或活性成分组合。（美国国家标准学会</w:t>
      </w:r>
      <w:r>
        <w:rPr>
          <w:rFonts w:ascii="Times New Roman" w:hAnsi="Times New Roman"/>
          <w:szCs w:val="21"/>
        </w:rPr>
        <w:t>/</w:t>
      </w:r>
      <w:r>
        <w:rPr>
          <w:rFonts w:hint="eastAsia" w:ascii="Times New Roman" w:hAnsi="宋体"/>
          <w:szCs w:val="21"/>
        </w:rPr>
        <w:t>美国医疗器械促进协会，</w:t>
      </w:r>
      <w:r>
        <w:rPr>
          <w:rFonts w:ascii="Times New Roman" w:hAnsi="Times New Roman"/>
          <w:szCs w:val="21"/>
        </w:rPr>
        <w:t>1996</w:t>
      </w:r>
      <w:r>
        <w:rPr>
          <w:rFonts w:hint="eastAsia" w:ascii="Times New Roman" w:hAnsi="宋体"/>
          <w:szCs w:val="21"/>
        </w:rPr>
        <w:t>年）</w:t>
      </w:r>
    </w:p>
    <w:p w14:paraId="3D5F2052">
      <w:pPr>
        <w:spacing w:before="240" w:line="360" w:lineRule="auto"/>
        <w:ind w:left="840" w:leftChars="400"/>
        <w:rPr>
          <w:rFonts w:ascii="Times New Roman" w:hAnsi="Times New Roman"/>
          <w:szCs w:val="21"/>
        </w:rPr>
      </w:pPr>
      <w:r>
        <w:rPr>
          <w:rFonts w:hint="eastAsia" w:ascii="Times New Roman" w:hAnsi="宋体"/>
          <w:b/>
          <w:bCs/>
          <w:szCs w:val="21"/>
        </w:rPr>
        <w:t>医疗器械：</w:t>
      </w:r>
      <w:r>
        <w:rPr>
          <w:rFonts w:hint="eastAsia" w:ascii="Times New Roman" w:hAnsi="宋体"/>
          <w:szCs w:val="21"/>
        </w:rPr>
        <w:t>根据《法案》（</w:t>
      </w:r>
      <w:r>
        <w:rPr>
          <w:rFonts w:ascii="Times New Roman" w:hAnsi="Times New Roman"/>
          <w:szCs w:val="21"/>
        </w:rPr>
        <w:t>21 USC §321(h)</w:t>
      </w:r>
      <w:r>
        <w:rPr>
          <w:rFonts w:hint="eastAsia" w:ascii="Times New Roman" w:hAnsi="宋体"/>
          <w:szCs w:val="21"/>
        </w:rPr>
        <w:t>）中的定义：</w:t>
      </w:r>
    </w:p>
    <w:p w14:paraId="4DFE457B">
      <w:pPr>
        <w:spacing w:before="240" w:line="360" w:lineRule="auto"/>
        <w:ind w:left="1260" w:leftChars="600"/>
        <w:rPr>
          <w:rFonts w:ascii="Times New Roman" w:hAnsi="Times New Roman"/>
          <w:szCs w:val="21"/>
        </w:rPr>
      </w:pPr>
      <w:r>
        <w:rPr>
          <w:rFonts w:hint="eastAsia" w:ascii="Times New Roman" w:hAnsi="宋体"/>
          <w:szCs w:val="21"/>
        </w:rPr>
        <w:t>所含组件、零件或配件具有下列特点的仪器、设备、工具、机器、装置、植入物、体外试剂或者其他类似或相关的物品</w:t>
      </w:r>
    </w:p>
    <w:p w14:paraId="6A25FA7D">
      <w:pPr>
        <w:numPr>
          <w:ilvl w:val="1"/>
          <w:numId w:val="3"/>
        </w:numPr>
        <w:spacing w:before="240" w:line="360" w:lineRule="auto"/>
        <w:ind w:left="1260" w:leftChars="400" w:hanging="420" w:hangingChars="200"/>
        <w:rPr>
          <w:rFonts w:ascii="Times New Roman" w:hAnsi="Times New Roman"/>
          <w:szCs w:val="21"/>
        </w:rPr>
      </w:pPr>
      <w:r>
        <w:rPr>
          <w:rFonts w:ascii="Times New Roman" w:hAnsi="Times New Roman"/>
          <w:szCs w:val="21"/>
        </w:rPr>
        <w:br w:type="page"/>
      </w:r>
      <w:r>
        <w:rPr>
          <w:rFonts w:hint="eastAsia" w:ascii="Times New Roman" w:hAnsi="宋体"/>
          <w:szCs w:val="21"/>
        </w:rPr>
        <w:t>获得美国药局方、美国药典或它们的补充物的认可，</w:t>
      </w:r>
    </w:p>
    <w:p w14:paraId="76F9A789">
      <w:pPr>
        <w:numPr>
          <w:ilvl w:val="1"/>
          <w:numId w:val="3"/>
        </w:numPr>
        <w:spacing w:before="240" w:line="360" w:lineRule="auto"/>
        <w:ind w:left="1260" w:leftChars="400" w:hanging="420" w:hangingChars="200"/>
        <w:rPr>
          <w:rFonts w:ascii="Times New Roman" w:hAnsi="Times New Roman"/>
          <w:szCs w:val="21"/>
        </w:rPr>
      </w:pPr>
      <w:r>
        <w:rPr>
          <w:rFonts w:hint="eastAsia" w:ascii="Times New Roman" w:hAnsi="宋体"/>
          <w:szCs w:val="21"/>
        </w:rPr>
        <w:t>用于疾病诊断或其他情况，用于治愈、减轻或治疗，用于疾病预防，用于人体或其他动物，或者</w:t>
      </w:r>
    </w:p>
    <w:p w14:paraId="07ED1008">
      <w:pPr>
        <w:numPr>
          <w:ilvl w:val="1"/>
          <w:numId w:val="3"/>
        </w:numPr>
        <w:spacing w:before="240" w:line="360" w:lineRule="auto"/>
        <w:ind w:left="1260" w:leftChars="400" w:hanging="420" w:hangingChars="200"/>
        <w:rPr>
          <w:rFonts w:ascii="Times New Roman" w:hAnsi="Times New Roman"/>
          <w:szCs w:val="21"/>
        </w:rPr>
      </w:pPr>
      <w:r>
        <w:rPr>
          <w:rFonts w:hint="eastAsia" w:ascii="Times New Roman" w:hAnsi="宋体"/>
          <w:szCs w:val="21"/>
        </w:rPr>
        <w:t>用于对人体或其他动物的身体结构或任何功能产生影响，以及</w:t>
      </w:r>
    </w:p>
    <w:p w14:paraId="31221345">
      <w:pPr>
        <w:spacing w:before="240" w:line="360" w:lineRule="auto"/>
        <w:ind w:left="840" w:leftChars="400"/>
        <w:rPr>
          <w:rFonts w:ascii="Times New Roman" w:hAnsi="Times New Roman"/>
          <w:szCs w:val="21"/>
        </w:rPr>
      </w:pPr>
      <w:r>
        <w:rPr>
          <w:rFonts w:hint="eastAsia" w:ascii="Times New Roman" w:hAnsi="宋体"/>
          <w:szCs w:val="21"/>
        </w:rPr>
        <w:t>通过化学反应不会在人或其他动物的体内或体表达到主要的预期使用目的，以及不依赖代谢来达到主要的预期使用目的。</w:t>
      </w:r>
    </w:p>
    <w:p w14:paraId="786C90EE">
      <w:pPr>
        <w:spacing w:before="240" w:line="360" w:lineRule="auto"/>
        <w:ind w:left="420" w:leftChars="200"/>
        <w:rPr>
          <w:rFonts w:ascii="Times New Roman" w:hAnsi="Times New Roman"/>
          <w:szCs w:val="21"/>
        </w:rPr>
      </w:pPr>
      <w:r>
        <w:rPr>
          <w:rFonts w:hint="eastAsia" w:ascii="Times New Roman" w:hAnsi="宋体"/>
          <w:b/>
          <w:szCs w:val="21"/>
        </w:rPr>
        <w:t>灭菌过程挑战装置（</w:t>
      </w:r>
      <w:r>
        <w:rPr>
          <w:rFonts w:ascii="Times New Roman" w:hAnsi="Times New Roman"/>
          <w:b/>
          <w:szCs w:val="21"/>
        </w:rPr>
        <w:t>PCD</w:t>
      </w:r>
      <w:r>
        <w:rPr>
          <w:rFonts w:hint="eastAsia" w:ascii="Times New Roman" w:hAnsi="宋体"/>
          <w:b/>
          <w:szCs w:val="21"/>
        </w:rPr>
        <w:t>）：</w:t>
      </w:r>
      <w:r>
        <w:rPr>
          <w:rFonts w:hint="eastAsia" w:ascii="Times New Roman" w:hAnsi="宋体"/>
          <w:szCs w:val="21"/>
        </w:rPr>
        <w:t>设计用来模拟将要灭菌的产品并对灭菌过程构成一定挑战的物品，用来评估过程的有效运行。（美国国家标准学会</w:t>
      </w:r>
      <w:r>
        <w:rPr>
          <w:rFonts w:ascii="Times New Roman" w:hAnsi="Times New Roman"/>
          <w:szCs w:val="21"/>
        </w:rPr>
        <w:t>/</w:t>
      </w:r>
      <w:r>
        <w:rPr>
          <w:rFonts w:hint="eastAsia" w:ascii="Times New Roman" w:hAnsi="宋体"/>
          <w:szCs w:val="21"/>
        </w:rPr>
        <w:t>美国医疗器械促进协会</w:t>
      </w:r>
      <w:r>
        <w:rPr>
          <w:rFonts w:ascii="Times New Roman" w:hAnsi="Times New Roman"/>
          <w:szCs w:val="21"/>
        </w:rPr>
        <w:t>/</w:t>
      </w:r>
      <w:r>
        <w:rPr>
          <w:rFonts w:hint="eastAsia" w:ascii="Times New Roman" w:hAnsi="宋体"/>
          <w:szCs w:val="21"/>
        </w:rPr>
        <w:t>国际标准化组织，</w:t>
      </w:r>
      <w:r>
        <w:rPr>
          <w:rFonts w:ascii="Times New Roman" w:hAnsi="Times New Roman"/>
          <w:szCs w:val="21"/>
        </w:rPr>
        <w:t>2002</w:t>
      </w:r>
      <w:r>
        <w:rPr>
          <w:rFonts w:hint="eastAsia" w:ascii="Times New Roman" w:hAnsi="宋体"/>
          <w:szCs w:val="21"/>
        </w:rPr>
        <w:t>年）</w:t>
      </w:r>
    </w:p>
    <w:p w14:paraId="1CD13B13">
      <w:pPr>
        <w:spacing w:before="240" w:line="360" w:lineRule="auto"/>
        <w:ind w:left="420" w:leftChars="200"/>
        <w:rPr>
          <w:rFonts w:ascii="Times New Roman" w:hAnsi="Times New Roman"/>
          <w:szCs w:val="21"/>
        </w:rPr>
      </w:pPr>
      <w:r>
        <w:rPr>
          <w:rFonts w:hint="eastAsia" w:ascii="Times New Roman" w:hAnsi="宋体"/>
          <w:b/>
          <w:bCs/>
          <w:szCs w:val="21"/>
        </w:rPr>
        <w:t>过程指示剂：</w:t>
      </w:r>
      <w:r>
        <w:rPr>
          <w:rFonts w:hint="eastAsia" w:ascii="Times New Roman" w:hAnsi="宋体"/>
          <w:szCs w:val="21"/>
        </w:rPr>
        <w:t>在单个装置（例如：包装、容器）中使用，用来证明该装置应暴露于灭菌过程，并区分处理过的和未被处理的装置的化学指示剂。（美国国家标准学会</w:t>
      </w:r>
      <w:r>
        <w:rPr>
          <w:rFonts w:ascii="Times New Roman" w:hAnsi="Times New Roman"/>
          <w:szCs w:val="21"/>
        </w:rPr>
        <w:t>/</w:t>
      </w:r>
      <w:r>
        <w:rPr>
          <w:rFonts w:hint="eastAsia" w:ascii="Times New Roman" w:hAnsi="宋体"/>
          <w:szCs w:val="21"/>
        </w:rPr>
        <w:t>美国医疗器械促进协会，</w:t>
      </w:r>
      <w:r>
        <w:rPr>
          <w:rFonts w:ascii="Times New Roman" w:hAnsi="Times New Roman"/>
          <w:szCs w:val="21"/>
        </w:rPr>
        <w:t>1996</w:t>
      </w:r>
      <w:r>
        <w:rPr>
          <w:rFonts w:hint="eastAsia" w:ascii="Times New Roman" w:hAnsi="宋体"/>
          <w:szCs w:val="21"/>
        </w:rPr>
        <w:t>年）</w:t>
      </w:r>
    </w:p>
    <w:p w14:paraId="0D7EB32E">
      <w:pPr>
        <w:spacing w:before="240" w:line="360" w:lineRule="auto"/>
        <w:ind w:left="420" w:leftChars="200"/>
        <w:rPr>
          <w:rFonts w:ascii="Times New Roman" w:hAnsi="Times New Roman"/>
          <w:szCs w:val="21"/>
        </w:rPr>
      </w:pPr>
      <w:r>
        <w:rPr>
          <w:rFonts w:hint="eastAsia" w:ascii="Times New Roman" w:hAnsi="宋体"/>
          <w:b/>
          <w:bCs/>
          <w:szCs w:val="21"/>
        </w:rPr>
        <w:t>阻力计：</w:t>
      </w:r>
      <w:r>
        <w:rPr>
          <w:rFonts w:hint="eastAsia" w:ascii="Times New Roman" w:hAnsi="宋体"/>
          <w:szCs w:val="21"/>
        </w:rPr>
        <w:t>设计用来快速产生与给定的灭菌过程相关的临界参数并对其进行精确控制的测试仪器。注释：</w:t>
      </w:r>
      <w:r>
        <w:rPr>
          <w:rFonts w:ascii="Times New Roman" w:hAnsi="Times New Roman"/>
          <w:szCs w:val="21"/>
        </w:rPr>
        <w:t>1</w:t>
      </w:r>
      <w:r>
        <w:rPr>
          <w:rFonts w:hint="eastAsia" w:ascii="Times New Roman" w:hAnsi="宋体"/>
          <w:szCs w:val="21"/>
        </w:rPr>
        <w:t>）除了与指示剂的性能一致性有关的常规质量体系测试外，也用来描述与给定的灭菌过程以及用来评估灭菌过程有效性的器械相关的因果关系，而且</w:t>
      </w:r>
      <w:r>
        <w:rPr>
          <w:rFonts w:ascii="Times New Roman" w:hAnsi="Times New Roman"/>
          <w:szCs w:val="21"/>
        </w:rPr>
        <w:t>2</w:t>
      </w:r>
      <w:r>
        <w:rPr>
          <w:rFonts w:hint="eastAsia" w:ascii="Times New Roman" w:hAnsi="宋体"/>
          <w:szCs w:val="21"/>
        </w:rPr>
        <w:t>）阻力计被称为生物指示剂阻力测试仪（</w:t>
      </w:r>
      <w:r>
        <w:rPr>
          <w:rFonts w:ascii="Times New Roman" w:hAnsi="Times New Roman"/>
          <w:szCs w:val="21"/>
        </w:rPr>
        <w:t>BIER</w:t>
      </w:r>
      <w:r>
        <w:rPr>
          <w:rFonts w:hint="eastAsia" w:ascii="Times New Roman" w:hAnsi="宋体"/>
          <w:szCs w:val="21"/>
        </w:rPr>
        <w:t>）或化学指示剂阻力测试仪（</w:t>
      </w:r>
      <w:r>
        <w:rPr>
          <w:rFonts w:ascii="Times New Roman" w:hAnsi="Times New Roman"/>
          <w:szCs w:val="21"/>
        </w:rPr>
        <w:t>CIER</w:t>
      </w:r>
      <w:r>
        <w:rPr>
          <w:rFonts w:hint="eastAsia" w:ascii="Times New Roman" w:hAnsi="宋体"/>
          <w:szCs w:val="21"/>
        </w:rPr>
        <w:t>）测试系统。（美国国家标准学会</w:t>
      </w:r>
      <w:r>
        <w:rPr>
          <w:rFonts w:ascii="Times New Roman" w:hAnsi="Times New Roman"/>
          <w:szCs w:val="21"/>
        </w:rPr>
        <w:t>/</w:t>
      </w:r>
      <w:r>
        <w:rPr>
          <w:rFonts w:hint="eastAsia" w:ascii="Times New Roman" w:hAnsi="宋体"/>
          <w:szCs w:val="21"/>
        </w:rPr>
        <w:t>美国医疗器械促进协会，</w:t>
      </w:r>
      <w:r>
        <w:rPr>
          <w:rFonts w:ascii="Times New Roman" w:hAnsi="Times New Roman"/>
          <w:szCs w:val="21"/>
        </w:rPr>
        <w:t>2002</w:t>
      </w:r>
      <w:r>
        <w:rPr>
          <w:rFonts w:hint="eastAsia" w:ascii="Times New Roman" w:hAnsi="宋体"/>
          <w:szCs w:val="21"/>
        </w:rPr>
        <w:t>年）</w:t>
      </w:r>
    </w:p>
    <w:p w14:paraId="28B46AE1">
      <w:pPr>
        <w:spacing w:before="240" w:line="360" w:lineRule="auto"/>
        <w:outlineLvl w:val="0"/>
        <w:rPr>
          <w:rFonts w:ascii="Times New Roman" w:hAnsi="Times New Roman"/>
          <w:sz w:val="28"/>
          <w:szCs w:val="28"/>
        </w:rPr>
      </w:pPr>
      <w:bookmarkStart w:id="20" w:name="Device_Comparison"/>
      <w:bookmarkEnd w:id="20"/>
      <w:bookmarkStart w:id="21" w:name="_Toc499728070"/>
      <w:r>
        <w:rPr>
          <w:rFonts w:hint="eastAsia" w:ascii="Times New Roman" w:hAnsi="宋体"/>
          <w:b/>
          <w:bCs/>
          <w:sz w:val="28"/>
          <w:szCs w:val="28"/>
        </w:rPr>
        <w:t>三：器械比较</w:t>
      </w:r>
      <w:bookmarkEnd w:id="21"/>
    </w:p>
    <w:p w14:paraId="5C72D43A">
      <w:pPr>
        <w:spacing w:before="240" w:line="360" w:lineRule="auto"/>
        <w:rPr>
          <w:rFonts w:ascii="Times New Roman" w:hAnsi="Times New Roman"/>
          <w:szCs w:val="21"/>
        </w:rPr>
      </w:pPr>
      <w:r>
        <w:rPr>
          <w:rFonts w:hint="eastAsia" w:ascii="Times New Roman" w:hAnsi="宋体"/>
          <w:szCs w:val="21"/>
        </w:rPr>
        <w:t>美国食品药品管理局建议你们提供将新器械与合法上市的已获批准的类似器械进行比较的内容或表格。下表是关于你们应该提供的信息类型的一个例子。</w:t>
      </w:r>
    </w:p>
    <w:p w14:paraId="7BB51CAA">
      <w:pPr>
        <w:spacing w:line="360" w:lineRule="auto"/>
        <w:rPr>
          <w:rFonts w:ascii="Times New Roman" w:hAnsi="Times New Roman"/>
          <w:szCs w:val="21"/>
        </w:rPr>
      </w:pPr>
      <w:bookmarkStart w:id="22" w:name="bookmark6"/>
      <w:bookmarkEnd w:id="22"/>
      <w:r>
        <w:rPr>
          <w:rFonts w:ascii="Times New Roman" w:hAnsi="Times New Roman"/>
          <w:szCs w:val="21"/>
        </w:rPr>
        <w:br w:type="page"/>
      </w:r>
      <w:r>
        <w:rPr>
          <w:rFonts w:hint="eastAsia" w:ascii="Times New Roman" w:hAnsi="宋体"/>
          <w:b/>
          <w:bCs/>
          <w:szCs w:val="21"/>
        </w:rPr>
        <w:t>表</w:t>
      </w:r>
      <w:r>
        <w:rPr>
          <w:rFonts w:ascii="Times New Roman" w:hAnsi="Times New Roman"/>
          <w:b/>
          <w:bCs/>
          <w:szCs w:val="21"/>
        </w:rPr>
        <w:t>1-</w:t>
      </w:r>
      <w:r>
        <w:rPr>
          <w:rFonts w:hint="eastAsia" w:ascii="Times New Roman" w:hAnsi="宋体"/>
          <w:b/>
          <w:bCs/>
          <w:szCs w:val="21"/>
        </w:rPr>
        <w:t>新器械与已获批准的类似器械之间的比较</w:t>
      </w:r>
    </w:p>
    <w:tbl>
      <w:tblPr>
        <w:tblStyle w:val="12"/>
        <w:tblW w:w="5000" w:type="pct"/>
        <w:tblInd w:w="0" w:type="dxa"/>
        <w:tblLayout w:type="autofit"/>
        <w:tblCellMar>
          <w:top w:w="0" w:type="dxa"/>
          <w:left w:w="0" w:type="dxa"/>
          <w:bottom w:w="0" w:type="dxa"/>
          <w:right w:w="0" w:type="dxa"/>
        </w:tblCellMar>
      </w:tblPr>
      <w:tblGrid>
        <w:gridCol w:w="3918"/>
        <w:gridCol w:w="2361"/>
        <w:gridCol w:w="2197"/>
      </w:tblGrid>
      <w:tr w14:paraId="3B0A8A4F">
        <w:tblPrEx>
          <w:tblCellMar>
            <w:top w:w="0" w:type="dxa"/>
            <w:left w:w="0" w:type="dxa"/>
            <w:bottom w:w="0" w:type="dxa"/>
            <w:right w:w="0" w:type="dxa"/>
          </w:tblCellMar>
        </w:tblPrEx>
        <w:tc>
          <w:tcPr>
            <w:tcW w:w="2311" w:type="pct"/>
            <w:tcBorders>
              <w:top w:val="single" w:color="000000" w:sz="4" w:space="0"/>
              <w:left w:val="single" w:color="000000" w:sz="4" w:space="0"/>
              <w:bottom w:val="single" w:color="000000" w:sz="4" w:space="0"/>
              <w:right w:val="single" w:color="000000" w:sz="4" w:space="0"/>
            </w:tcBorders>
            <w:shd w:val="clear" w:color="auto" w:fill="CCFFFF"/>
            <w:tcMar>
              <w:left w:w="85" w:type="dxa"/>
              <w:right w:w="85" w:type="dxa"/>
            </w:tcMar>
            <w:vAlign w:val="center"/>
          </w:tcPr>
          <w:p w14:paraId="4A90C209">
            <w:pPr>
              <w:spacing w:line="360" w:lineRule="auto"/>
              <w:rPr>
                <w:rFonts w:ascii="Times New Roman" w:hAnsi="Times New Roman"/>
                <w:szCs w:val="21"/>
              </w:rPr>
            </w:pPr>
            <w:r>
              <w:rPr>
                <w:rFonts w:hint="eastAsia" w:ascii="Times New Roman" w:hAnsi="宋体"/>
                <w:b/>
                <w:bCs/>
                <w:szCs w:val="21"/>
              </w:rPr>
              <w:t>要素</w:t>
            </w:r>
          </w:p>
        </w:tc>
        <w:tc>
          <w:tcPr>
            <w:tcW w:w="1393" w:type="pct"/>
            <w:tcBorders>
              <w:top w:val="single" w:color="000000" w:sz="4" w:space="0"/>
              <w:left w:val="single" w:color="000000" w:sz="4" w:space="0"/>
              <w:bottom w:val="single" w:color="000000" w:sz="4" w:space="0"/>
              <w:right w:val="single" w:color="000000" w:sz="4" w:space="0"/>
            </w:tcBorders>
            <w:shd w:val="clear" w:color="auto" w:fill="CCFFFF"/>
            <w:tcMar>
              <w:left w:w="85" w:type="dxa"/>
              <w:right w:w="85" w:type="dxa"/>
            </w:tcMar>
            <w:vAlign w:val="center"/>
          </w:tcPr>
          <w:p w14:paraId="21A07F84">
            <w:pPr>
              <w:spacing w:line="360" w:lineRule="auto"/>
              <w:rPr>
                <w:rFonts w:ascii="Times New Roman" w:hAnsi="Times New Roman"/>
                <w:szCs w:val="21"/>
              </w:rPr>
            </w:pPr>
            <w:r>
              <w:rPr>
                <w:rFonts w:hint="eastAsia" w:ascii="Times New Roman" w:hAnsi="宋体"/>
                <w:b/>
                <w:bCs/>
                <w:szCs w:val="21"/>
              </w:rPr>
              <w:t>新器械</w:t>
            </w:r>
          </w:p>
        </w:tc>
        <w:tc>
          <w:tcPr>
            <w:tcW w:w="1296" w:type="pct"/>
            <w:tcBorders>
              <w:top w:val="single" w:color="000000" w:sz="4" w:space="0"/>
              <w:left w:val="single" w:color="000000" w:sz="4" w:space="0"/>
              <w:bottom w:val="single" w:color="000000" w:sz="4" w:space="0"/>
              <w:right w:val="single" w:color="000000" w:sz="4" w:space="0"/>
            </w:tcBorders>
            <w:shd w:val="clear" w:color="auto" w:fill="CCFFFF"/>
            <w:tcMar>
              <w:left w:w="85" w:type="dxa"/>
              <w:right w:w="85" w:type="dxa"/>
            </w:tcMar>
            <w:vAlign w:val="center"/>
          </w:tcPr>
          <w:p w14:paraId="627CB190">
            <w:pPr>
              <w:spacing w:line="360" w:lineRule="auto"/>
              <w:rPr>
                <w:rFonts w:ascii="Times New Roman" w:hAnsi="Times New Roman"/>
                <w:szCs w:val="21"/>
              </w:rPr>
            </w:pPr>
            <w:r>
              <w:rPr>
                <w:rFonts w:hint="eastAsia" w:ascii="Times New Roman" w:hAnsi="宋体"/>
                <w:b/>
                <w:bCs/>
                <w:szCs w:val="21"/>
              </w:rPr>
              <w:t>已获批准的类似器械</w:t>
            </w:r>
          </w:p>
        </w:tc>
      </w:tr>
      <w:tr w14:paraId="29FDA07E">
        <w:tblPrEx>
          <w:tblCellMar>
            <w:top w:w="0" w:type="dxa"/>
            <w:left w:w="0" w:type="dxa"/>
            <w:bottom w:w="0" w:type="dxa"/>
            <w:right w:w="0" w:type="dxa"/>
          </w:tblCellMar>
        </w:tblPrEx>
        <w:tc>
          <w:tcPr>
            <w:tcW w:w="231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7B8AC988">
            <w:pPr>
              <w:spacing w:line="360" w:lineRule="auto"/>
              <w:rPr>
                <w:rFonts w:ascii="Times New Roman" w:hAnsi="Times New Roman"/>
                <w:szCs w:val="21"/>
              </w:rPr>
            </w:pPr>
            <w:r>
              <w:rPr>
                <w:rFonts w:hint="eastAsia" w:ascii="Times New Roman" w:hAnsi="宋体"/>
                <w:szCs w:val="21"/>
              </w:rPr>
              <w:t>预期用途，例如：过程指示剂、化学积分器、</w:t>
            </w:r>
            <w:r>
              <w:rPr>
                <w:rFonts w:ascii="Times New Roman" w:hAnsi="Times New Roman"/>
                <w:szCs w:val="21"/>
              </w:rPr>
              <w:t>Bowie Dick</w:t>
            </w:r>
            <w:r>
              <w:rPr>
                <w:rFonts w:hint="eastAsia" w:ascii="Times New Roman" w:hAnsi="宋体"/>
                <w:szCs w:val="21"/>
              </w:rPr>
              <w:t>测试</w:t>
            </w:r>
          </w:p>
        </w:tc>
        <w:tc>
          <w:tcPr>
            <w:tcW w:w="1393"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19261D9A">
            <w:pPr>
              <w:spacing w:line="360" w:lineRule="auto"/>
              <w:rPr>
                <w:rFonts w:ascii="Times New Roman" w:hAnsi="Times New Roman"/>
                <w:szCs w:val="21"/>
              </w:rPr>
            </w:pPr>
          </w:p>
        </w:tc>
        <w:tc>
          <w:tcPr>
            <w:tcW w:w="129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2AA8DD86">
            <w:pPr>
              <w:spacing w:line="360" w:lineRule="auto"/>
              <w:rPr>
                <w:rFonts w:ascii="Times New Roman" w:hAnsi="Times New Roman"/>
                <w:szCs w:val="21"/>
              </w:rPr>
            </w:pPr>
          </w:p>
        </w:tc>
      </w:tr>
      <w:tr w14:paraId="2C150AA0">
        <w:tblPrEx>
          <w:tblCellMar>
            <w:top w:w="0" w:type="dxa"/>
            <w:left w:w="0" w:type="dxa"/>
            <w:bottom w:w="0" w:type="dxa"/>
            <w:right w:w="0" w:type="dxa"/>
          </w:tblCellMar>
        </w:tblPrEx>
        <w:tc>
          <w:tcPr>
            <w:tcW w:w="231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706194A3">
            <w:pPr>
              <w:spacing w:line="360" w:lineRule="auto"/>
              <w:rPr>
                <w:rFonts w:ascii="Times New Roman" w:hAnsi="Times New Roman"/>
                <w:szCs w:val="21"/>
              </w:rPr>
            </w:pPr>
            <w:r>
              <w:rPr>
                <w:rFonts w:hint="eastAsia" w:ascii="Times New Roman" w:hAnsi="宋体"/>
                <w:szCs w:val="21"/>
              </w:rPr>
              <w:t>器械设计</w:t>
            </w:r>
          </w:p>
        </w:tc>
        <w:tc>
          <w:tcPr>
            <w:tcW w:w="1393"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18CB463F">
            <w:pPr>
              <w:spacing w:line="360" w:lineRule="auto"/>
              <w:rPr>
                <w:rFonts w:ascii="Times New Roman" w:hAnsi="Times New Roman"/>
                <w:szCs w:val="21"/>
              </w:rPr>
            </w:pPr>
          </w:p>
        </w:tc>
        <w:tc>
          <w:tcPr>
            <w:tcW w:w="129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77F2364F">
            <w:pPr>
              <w:spacing w:line="360" w:lineRule="auto"/>
              <w:rPr>
                <w:rFonts w:ascii="Times New Roman" w:hAnsi="Times New Roman"/>
                <w:szCs w:val="21"/>
              </w:rPr>
            </w:pPr>
          </w:p>
        </w:tc>
      </w:tr>
      <w:tr w14:paraId="69916914">
        <w:tblPrEx>
          <w:tblCellMar>
            <w:top w:w="0" w:type="dxa"/>
            <w:left w:w="0" w:type="dxa"/>
            <w:bottom w:w="0" w:type="dxa"/>
            <w:right w:w="0" w:type="dxa"/>
          </w:tblCellMar>
        </w:tblPrEx>
        <w:tc>
          <w:tcPr>
            <w:tcW w:w="231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6C804BD2">
            <w:pPr>
              <w:spacing w:line="360" w:lineRule="auto"/>
              <w:rPr>
                <w:rFonts w:ascii="Times New Roman" w:hAnsi="Times New Roman"/>
                <w:szCs w:val="21"/>
              </w:rPr>
            </w:pPr>
            <w:r>
              <w:rPr>
                <w:rFonts w:hint="eastAsia" w:ascii="Times New Roman" w:hAnsi="宋体"/>
                <w:szCs w:val="21"/>
              </w:rPr>
              <w:t>指示剂</w:t>
            </w:r>
          </w:p>
        </w:tc>
        <w:tc>
          <w:tcPr>
            <w:tcW w:w="1393"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164214B1">
            <w:pPr>
              <w:spacing w:line="360" w:lineRule="auto"/>
              <w:rPr>
                <w:rFonts w:ascii="Times New Roman" w:hAnsi="Times New Roman"/>
                <w:szCs w:val="21"/>
              </w:rPr>
            </w:pPr>
          </w:p>
        </w:tc>
        <w:tc>
          <w:tcPr>
            <w:tcW w:w="129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7246CB65">
            <w:pPr>
              <w:spacing w:line="360" w:lineRule="auto"/>
              <w:rPr>
                <w:rFonts w:ascii="Times New Roman" w:hAnsi="Times New Roman"/>
                <w:szCs w:val="21"/>
              </w:rPr>
            </w:pPr>
          </w:p>
        </w:tc>
      </w:tr>
      <w:tr w14:paraId="7759FF07">
        <w:tblPrEx>
          <w:tblCellMar>
            <w:top w:w="0" w:type="dxa"/>
            <w:left w:w="0" w:type="dxa"/>
            <w:bottom w:w="0" w:type="dxa"/>
            <w:right w:w="0" w:type="dxa"/>
          </w:tblCellMar>
        </w:tblPrEx>
        <w:tc>
          <w:tcPr>
            <w:tcW w:w="231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113BF2BB">
            <w:pPr>
              <w:spacing w:line="360" w:lineRule="auto"/>
              <w:rPr>
                <w:rFonts w:ascii="Times New Roman" w:hAnsi="Times New Roman"/>
                <w:szCs w:val="21"/>
              </w:rPr>
            </w:pPr>
            <w:r>
              <w:rPr>
                <w:rFonts w:hint="eastAsia" w:ascii="Times New Roman" w:hAnsi="宋体"/>
                <w:szCs w:val="21"/>
              </w:rPr>
              <w:t>灭菌方法和周期</w:t>
            </w:r>
          </w:p>
        </w:tc>
        <w:tc>
          <w:tcPr>
            <w:tcW w:w="1393"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0ED06E73">
            <w:pPr>
              <w:spacing w:line="360" w:lineRule="auto"/>
              <w:rPr>
                <w:rFonts w:ascii="Times New Roman" w:hAnsi="Times New Roman"/>
                <w:szCs w:val="21"/>
              </w:rPr>
            </w:pPr>
          </w:p>
        </w:tc>
        <w:tc>
          <w:tcPr>
            <w:tcW w:w="129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530D4B4A">
            <w:pPr>
              <w:spacing w:line="360" w:lineRule="auto"/>
              <w:rPr>
                <w:rFonts w:ascii="Times New Roman" w:hAnsi="Times New Roman"/>
                <w:szCs w:val="21"/>
              </w:rPr>
            </w:pPr>
          </w:p>
        </w:tc>
      </w:tr>
      <w:tr w14:paraId="39F3494B">
        <w:tblPrEx>
          <w:tblCellMar>
            <w:top w:w="0" w:type="dxa"/>
            <w:left w:w="0" w:type="dxa"/>
            <w:bottom w:w="0" w:type="dxa"/>
            <w:right w:w="0" w:type="dxa"/>
          </w:tblCellMar>
        </w:tblPrEx>
        <w:tc>
          <w:tcPr>
            <w:tcW w:w="231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3FBB4B14">
            <w:pPr>
              <w:spacing w:line="360" w:lineRule="auto"/>
              <w:rPr>
                <w:rFonts w:ascii="Times New Roman" w:hAnsi="Times New Roman"/>
                <w:szCs w:val="21"/>
              </w:rPr>
            </w:pPr>
            <w:r>
              <w:rPr>
                <w:rFonts w:hint="eastAsia" w:ascii="Times New Roman" w:hAnsi="宋体"/>
                <w:szCs w:val="21"/>
              </w:rPr>
              <w:t>终点规格</w:t>
            </w:r>
          </w:p>
        </w:tc>
        <w:tc>
          <w:tcPr>
            <w:tcW w:w="1393"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0393BC17">
            <w:pPr>
              <w:spacing w:line="360" w:lineRule="auto"/>
              <w:rPr>
                <w:rFonts w:ascii="Times New Roman" w:hAnsi="Times New Roman"/>
                <w:szCs w:val="21"/>
              </w:rPr>
            </w:pPr>
          </w:p>
        </w:tc>
        <w:tc>
          <w:tcPr>
            <w:tcW w:w="129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0AD7DE1D">
            <w:pPr>
              <w:spacing w:line="360" w:lineRule="auto"/>
              <w:rPr>
                <w:rFonts w:ascii="Times New Roman" w:hAnsi="Times New Roman"/>
                <w:szCs w:val="21"/>
              </w:rPr>
            </w:pPr>
          </w:p>
        </w:tc>
      </w:tr>
      <w:tr w14:paraId="67AF5336">
        <w:tblPrEx>
          <w:tblCellMar>
            <w:top w:w="0" w:type="dxa"/>
            <w:left w:w="0" w:type="dxa"/>
            <w:bottom w:w="0" w:type="dxa"/>
            <w:right w:w="0" w:type="dxa"/>
          </w:tblCellMar>
        </w:tblPrEx>
        <w:tc>
          <w:tcPr>
            <w:tcW w:w="231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3D4FAA63">
            <w:pPr>
              <w:spacing w:line="360" w:lineRule="auto"/>
              <w:rPr>
                <w:rFonts w:ascii="Times New Roman" w:hAnsi="Times New Roman"/>
                <w:szCs w:val="21"/>
              </w:rPr>
            </w:pPr>
            <w:r>
              <w:rPr>
                <w:rFonts w:hint="eastAsia" w:ascii="Times New Roman" w:hAnsi="宋体"/>
                <w:szCs w:val="21"/>
              </w:rPr>
              <w:t>货架期</w:t>
            </w:r>
          </w:p>
        </w:tc>
        <w:tc>
          <w:tcPr>
            <w:tcW w:w="1393"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13C21563">
            <w:pPr>
              <w:spacing w:line="360" w:lineRule="auto"/>
              <w:rPr>
                <w:rFonts w:ascii="Times New Roman" w:hAnsi="Times New Roman"/>
                <w:szCs w:val="21"/>
              </w:rPr>
            </w:pPr>
          </w:p>
        </w:tc>
        <w:tc>
          <w:tcPr>
            <w:tcW w:w="129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7BB2C270">
            <w:pPr>
              <w:spacing w:line="360" w:lineRule="auto"/>
              <w:rPr>
                <w:rFonts w:ascii="Times New Roman" w:hAnsi="Times New Roman"/>
                <w:szCs w:val="21"/>
              </w:rPr>
            </w:pPr>
          </w:p>
        </w:tc>
      </w:tr>
    </w:tbl>
    <w:p w14:paraId="4AD6CEF7">
      <w:pPr>
        <w:spacing w:before="240" w:line="360" w:lineRule="auto"/>
        <w:outlineLvl w:val="0"/>
        <w:rPr>
          <w:rFonts w:ascii="Times New Roman" w:hAnsi="Times New Roman"/>
          <w:sz w:val="28"/>
          <w:szCs w:val="28"/>
        </w:rPr>
      </w:pPr>
      <w:bookmarkStart w:id="23" w:name="Device_Description"/>
      <w:bookmarkEnd w:id="23"/>
      <w:bookmarkStart w:id="24" w:name="_Toc499728071"/>
      <w:r>
        <w:rPr>
          <w:rFonts w:hint="eastAsia" w:ascii="Times New Roman" w:hAnsi="宋体"/>
          <w:b/>
          <w:bCs/>
          <w:sz w:val="28"/>
          <w:szCs w:val="28"/>
        </w:rPr>
        <w:t>四：器械介绍</w:t>
      </w:r>
      <w:bookmarkEnd w:id="24"/>
    </w:p>
    <w:p w14:paraId="3F8CE984">
      <w:pPr>
        <w:spacing w:before="240" w:line="360" w:lineRule="auto"/>
        <w:rPr>
          <w:rFonts w:ascii="Times New Roman" w:hAnsi="Times New Roman"/>
          <w:szCs w:val="21"/>
        </w:rPr>
      </w:pPr>
      <w:r>
        <w:rPr>
          <w:rFonts w:hint="eastAsia" w:ascii="Times New Roman" w:hAnsi="宋体"/>
          <w:szCs w:val="21"/>
        </w:rPr>
        <w:t>你们应该提供有关化学指示剂的详细介绍。对你们化学指示剂的介绍应该包括与器械设计和制造规范相关的总体特点。下面的项目列表为你们在介绍器械时应该提供的信息类型提供了范例。如果在设计、剂型或者性能保证方面存在差异，我们可能会要求其他的信息。</w:t>
      </w:r>
    </w:p>
    <w:p w14:paraId="7BA74009">
      <w:pPr>
        <w:pStyle w:val="19"/>
        <w:numPr>
          <w:ilvl w:val="0"/>
          <w:numId w:val="4"/>
        </w:numPr>
        <w:spacing w:line="360" w:lineRule="auto"/>
        <w:ind w:left="420" w:leftChars="200" w:firstLineChars="0"/>
        <w:rPr>
          <w:rFonts w:ascii="Times New Roman" w:hAnsi="Times New Roman"/>
          <w:szCs w:val="21"/>
        </w:rPr>
      </w:pPr>
      <w:r>
        <w:rPr>
          <w:rFonts w:hint="eastAsia" w:ascii="Times New Roman" w:hAnsi="宋体"/>
          <w:szCs w:val="21"/>
        </w:rPr>
        <w:t>指示剂的化学名称，例如：油墨、染料、化学试剂</w:t>
      </w:r>
    </w:p>
    <w:p w14:paraId="2B64C90F">
      <w:pPr>
        <w:pStyle w:val="19"/>
        <w:numPr>
          <w:ilvl w:val="0"/>
          <w:numId w:val="4"/>
        </w:numPr>
        <w:spacing w:line="360" w:lineRule="auto"/>
        <w:ind w:left="420" w:leftChars="200" w:firstLineChars="0"/>
        <w:rPr>
          <w:rFonts w:ascii="Times New Roman" w:hAnsi="Times New Roman"/>
          <w:szCs w:val="21"/>
        </w:rPr>
      </w:pPr>
      <w:r>
        <w:rPr>
          <w:rFonts w:hint="eastAsia" w:ascii="Times New Roman" w:hAnsi="宋体"/>
          <w:szCs w:val="21"/>
        </w:rPr>
        <w:t>指示剂的化学成分或剂型</w:t>
      </w:r>
    </w:p>
    <w:p w14:paraId="457843FE">
      <w:pPr>
        <w:pStyle w:val="19"/>
        <w:numPr>
          <w:ilvl w:val="0"/>
          <w:numId w:val="4"/>
        </w:numPr>
        <w:spacing w:line="360" w:lineRule="auto"/>
        <w:ind w:left="420" w:leftChars="200" w:firstLineChars="0"/>
        <w:rPr>
          <w:rFonts w:ascii="Times New Roman" w:hAnsi="Times New Roman"/>
          <w:szCs w:val="21"/>
        </w:rPr>
      </w:pPr>
      <w:r>
        <w:rPr>
          <w:rFonts w:hint="eastAsia" w:ascii="Times New Roman" w:hAnsi="宋体"/>
          <w:szCs w:val="21"/>
        </w:rPr>
        <w:t>达到预期终点需要发生的反应</w:t>
      </w:r>
    </w:p>
    <w:p w14:paraId="172F6770">
      <w:pPr>
        <w:pStyle w:val="19"/>
        <w:numPr>
          <w:ilvl w:val="0"/>
          <w:numId w:val="4"/>
        </w:numPr>
        <w:spacing w:line="360" w:lineRule="auto"/>
        <w:ind w:left="420" w:leftChars="200" w:firstLineChars="0"/>
        <w:rPr>
          <w:rFonts w:ascii="Times New Roman" w:hAnsi="Times New Roman"/>
          <w:szCs w:val="21"/>
        </w:rPr>
      </w:pPr>
      <w:r>
        <w:rPr>
          <w:rFonts w:hint="eastAsia" w:ascii="Times New Roman" w:hAnsi="宋体"/>
          <w:szCs w:val="21"/>
        </w:rPr>
        <w:t>化学指示剂预期的灭菌周期</w:t>
      </w:r>
    </w:p>
    <w:p w14:paraId="6791BE9F">
      <w:pPr>
        <w:pStyle w:val="19"/>
        <w:numPr>
          <w:ilvl w:val="0"/>
          <w:numId w:val="4"/>
        </w:numPr>
        <w:spacing w:line="360" w:lineRule="auto"/>
        <w:ind w:left="420" w:leftChars="200" w:firstLineChars="0"/>
        <w:rPr>
          <w:rFonts w:ascii="Times New Roman" w:hAnsi="Times New Roman"/>
          <w:szCs w:val="21"/>
        </w:rPr>
      </w:pPr>
      <w:r>
        <w:rPr>
          <w:rFonts w:hint="eastAsia" w:ascii="Times New Roman" w:hAnsi="宋体"/>
          <w:szCs w:val="21"/>
        </w:rPr>
        <w:t>化学指示剂将要监控的临界参数</w:t>
      </w:r>
    </w:p>
    <w:p w14:paraId="7E3093BD">
      <w:pPr>
        <w:pStyle w:val="19"/>
        <w:numPr>
          <w:ilvl w:val="0"/>
          <w:numId w:val="4"/>
        </w:numPr>
        <w:spacing w:line="360" w:lineRule="auto"/>
        <w:ind w:left="420" w:leftChars="200" w:firstLineChars="0"/>
        <w:rPr>
          <w:rFonts w:ascii="Times New Roman" w:hAnsi="Times New Roman"/>
          <w:szCs w:val="21"/>
        </w:rPr>
      </w:pPr>
      <w:r>
        <w:rPr>
          <w:rFonts w:hint="eastAsia" w:ascii="Times New Roman" w:hAnsi="宋体"/>
          <w:szCs w:val="21"/>
        </w:rPr>
        <w:t>达到终点需要的最小暴露参数</w:t>
      </w:r>
    </w:p>
    <w:p w14:paraId="1ECB6F25">
      <w:pPr>
        <w:pStyle w:val="19"/>
        <w:numPr>
          <w:ilvl w:val="0"/>
          <w:numId w:val="4"/>
        </w:numPr>
        <w:spacing w:line="360" w:lineRule="auto"/>
        <w:ind w:left="420" w:leftChars="200" w:firstLineChars="0"/>
        <w:rPr>
          <w:rFonts w:ascii="Times New Roman" w:hAnsi="Times New Roman"/>
          <w:szCs w:val="21"/>
        </w:rPr>
      </w:pPr>
      <w:r>
        <w:rPr>
          <w:rFonts w:hint="eastAsia" w:ascii="Times New Roman" w:hAnsi="宋体"/>
          <w:szCs w:val="21"/>
        </w:rPr>
        <w:t>建议的存储条件</w:t>
      </w:r>
    </w:p>
    <w:p w14:paraId="20E27950">
      <w:pPr>
        <w:pStyle w:val="19"/>
        <w:numPr>
          <w:ilvl w:val="0"/>
          <w:numId w:val="4"/>
        </w:numPr>
        <w:spacing w:line="360" w:lineRule="auto"/>
        <w:ind w:left="420" w:leftChars="200" w:firstLineChars="0"/>
        <w:rPr>
          <w:rFonts w:ascii="Times New Roman" w:hAnsi="Times New Roman"/>
          <w:szCs w:val="21"/>
        </w:rPr>
      </w:pPr>
      <w:r>
        <w:rPr>
          <w:rFonts w:hint="eastAsia" w:ascii="Times New Roman" w:hAnsi="宋体"/>
          <w:szCs w:val="21"/>
        </w:rPr>
        <w:t>所有干扰物质或条件</w:t>
      </w:r>
    </w:p>
    <w:p w14:paraId="2B5143F6">
      <w:pPr>
        <w:pStyle w:val="19"/>
        <w:numPr>
          <w:ilvl w:val="0"/>
          <w:numId w:val="4"/>
        </w:numPr>
        <w:spacing w:line="360" w:lineRule="auto"/>
        <w:ind w:left="420" w:leftChars="200" w:firstLineChars="0"/>
        <w:rPr>
          <w:rFonts w:ascii="Times New Roman" w:hAnsi="Times New Roman"/>
          <w:szCs w:val="21"/>
        </w:rPr>
      </w:pPr>
      <w:r>
        <w:rPr>
          <w:rFonts w:hint="eastAsia" w:ascii="Times New Roman" w:hAnsi="宋体"/>
          <w:szCs w:val="21"/>
        </w:rPr>
        <w:t>终点反应的稳定性，例如：终点颜色的稳定性</w:t>
      </w:r>
    </w:p>
    <w:p w14:paraId="098284AD">
      <w:pPr>
        <w:pStyle w:val="19"/>
        <w:numPr>
          <w:ilvl w:val="0"/>
          <w:numId w:val="4"/>
        </w:numPr>
        <w:spacing w:line="360" w:lineRule="auto"/>
        <w:ind w:left="420" w:leftChars="200" w:firstLineChars="0"/>
        <w:rPr>
          <w:rFonts w:ascii="Times New Roman" w:hAnsi="Times New Roman"/>
          <w:szCs w:val="21"/>
        </w:rPr>
      </w:pPr>
      <w:r>
        <w:rPr>
          <w:rFonts w:hint="eastAsia" w:ascii="Times New Roman" w:hAnsi="宋体"/>
          <w:szCs w:val="21"/>
        </w:rPr>
        <w:t>货架期</w:t>
      </w:r>
    </w:p>
    <w:p w14:paraId="7B5C005B">
      <w:pPr>
        <w:spacing w:before="240" w:line="360" w:lineRule="auto"/>
        <w:outlineLvl w:val="0"/>
        <w:rPr>
          <w:rFonts w:ascii="Times New Roman" w:hAnsi="Times New Roman"/>
          <w:sz w:val="28"/>
          <w:szCs w:val="28"/>
        </w:rPr>
      </w:pPr>
      <w:bookmarkStart w:id="25" w:name="Intended_Use"/>
      <w:bookmarkEnd w:id="25"/>
      <w:bookmarkStart w:id="26" w:name="bookmark7"/>
      <w:bookmarkEnd w:id="26"/>
      <w:r>
        <w:rPr>
          <w:rFonts w:ascii="Times New Roman" w:hAnsi="Times New Roman"/>
          <w:szCs w:val="21"/>
        </w:rPr>
        <w:br w:type="page"/>
      </w:r>
      <w:bookmarkStart w:id="27" w:name="_Toc499728072"/>
      <w:r>
        <w:rPr>
          <w:rFonts w:hint="eastAsia" w:ascii="Times New Roman" w:hAnsi="宋体"/>
          <w:b/>
          <w:sz w:val="28"/>
          <w:szCs w:val="28"/>
        </w:rPr>
        <w:t>五：</w:t>
      </w:r>
      <w:r>
        <w:rPr>
          <w:rFonts w:hint="eastAsia" w:ascii="Times New Roman" w:hAnsi="宋体"/>
          <w:b/>
          <w:bCs/>
          <w:sz w:val="28"/>
          <w:szCs w:val="28"/>
        </w:rPr>
        <w:t>预期用途</w:t>
      </w:r>
      <w:bookmarkEnd w:id="27"/>
    </w:p>
    <w:p w14:paraId="2D1DCD92">
      <w:pPr>
        <w:spacing w:before="240" w:line="360" w:lineRule="auto"/>
        <w:rPr>
          <w:rFonts w:ascii="Times New Roman" w:hAnsi="Times New Roman"/>
          <w:szCs w:val="21"/>
        </w:rPr>
      </w:pPr>
      <w:r>
        <w:rPr>
          <w:rFonts w:hint="eastAsia" w:ascii="Times New Roman" w:hAnsi="宋体"/>
          <w:szCs w:val="21"/>
        </w:rPr>
        <w:t>你们应该清楚地表明化学指示剂的预期用途。下列为每一类指示剂预期用途的范例。</w:t>
      </w:r>
    </w:p>
    <w:p w14:paraId="5193B01C">
      <w:pPr>
        <w:spacing w:before="240" w:line="360" w:lineRule="auto"/>
        <w:ind w:left="420" w:leftChars="200"/>
        <w:outlineLvl w:val="2"/>
        <w:rPr>
          <w:rFonts w:ascii="Times New Roman" w:hAnsi="Times New Roman"/>
          <w:szCs w:val="21"/>
        </w:rPr>
      </w:pPr>
      <w:bookmarkStart w:id="28" w:name="A_Process_indicator"/>
      <w:bookmarkEnd w:id="28"/>
      <w:r>
        <w:rPr>
          <w:rFonts w:ascii="Times New Roman" w:hAnsi="Times New Roman"/>
          <w:b/>
          <w:bCs/>
          <w:iCs/>
          <w:szCs w:val="21"/>
        </w:rPr>
        <w:t>A.</w:t>
      </w:r>
      <w:r>
        <w:rPr>
          <w:rFonts w:hint="eastAsia" w:ascii="Times New Roman" w:hAnsi="宋体"/>
          <w:b/>
          <w:bCs/>
          <w:i/>
          <w:iCs/>
          <w:szCs w:val="21"/>
        </w:rPr>
        <w:t>过程指示剂</w:t>
      </w:r>
    </w:p>
    <w:p w14:paraId="21C7FA27">
      <w:pPr>
        <w:spacing w:line="360" w:lineRule="auto"/>
        <w:ind w:left="420" w:leftChars="200"/>
        <w:rPr>
          <w:rFonts w:ascii="Times New Roman" w:hAnsi="Times New Roman"/>
          <w:szCs w:val="21"/>
        </w:rPr>
      </w:pPr>
      <w:r>
        <w:rPr>
          <w:rFonts w:hint="eastAsia" w:ascii="Times New Roman" w:hAnsi="宋体"/>
          <w:szCs w:val="21"/>
        </w:rPr>
        <w:t>医疗服务人员将过程指示剂和灭菌包、容器、盒子或者袋子一起使用来区分处理过的和未被处理的装置的化学指示剂。</w:t>
      </w:r>
    </w:p>
    <w:p w14:paraId="6A2E2291">
      <w:pPr>
        <w:spacing w:before="240" w:line="360" w:lineRule="auto"/>
        <w:ind w:left="420" w:leftChars="200"/>
        <w:outlineLvl w:val="2"/>
        <w:rPr>
          <w:rFonts w:ascii="Times New Roman" w:hAnsi="Times New Roman"/>
          <w:szCs w:val="21"/>
        </w:rPr>
      </w:pPr>
      <w:r>
        <w:rPr>
          <w:rFonts w:ascii="Times New Roman" w:hAnsi="Times New Roman"/>
          <w:b/>
          <w:bCs/>
          <w:iCs/>
          <w:szCs w:val="21"/>
        </w:rPr>
        <w:t>B.</w:t>
      </w:r>
      <w:r>
        <w:rPr>
          <w:rFonts w:hint="eastAsia" w:ascii="Times New Roman" w:hAnsi="宋体"/>
          <w:b/>
          <w:bCs/>
          <w:i/>
          <w:iCs/>
          <w:szCs w:val="21"/>
        </w:rPr>
        <w:t>化学积分器</w:t>
      </w:r>
    </w:p>
    <w:p w14:paraId="1694A1E6">
      <w:pPr>
        <w:spacing w:line="360" w:lineRule="auto"/>
        <w:ind w:left="420" w:leftChars="200"/>
        <w:rPr>
          <w:rFonts w:ascii="Times New Roman" w:hAnsi="Times New Roman"/>
          <w:szCs w:val="21"/>
        </w:rPr>
      </w:pPr>
      <w:r>
        <w:rPr>
          <w:rFonts w:hint="eastAsia" w:ascii="Times New Roman" w:hAnsi="宋体"/>
          <w:szCs w:val="21"/>
        </w:rPr>
        <w:t>医疗服务人员使用化学积分器来证明灭菌周期特定范围内的参数符合规定的灭菌包、容器、盒子或者袋子。</w:t>
      </w:r>
    </w:p>
    <w:p w14:paraId="60FA81C9">
      <w:pPr>
        <w:spacing w:before="240" w:line="360" w:lineRule="auto"/>
        <w:ind w:left="420" w:leftChars="200"/>
        <w:outlineLvl w:val="2"/>
        <w:rPr>
          <w:rFonts w:ascii="Times New Roman" w:hAnsi="Times New Roman"/>
          <w:szCs w:val="21"/>
        </w:rPr>
      </w:pPr>
      <w:bookmarkStart w:id="29" w:name="C_Air_Removal_Indicators"/>
      <w:bookmarkEnd w:id="29"/>
      <w:r>
        <w:rPr>
          <w:rFonts w:ascii="Times New Roman" w:hAnsi="Times New Roman"/>
          <w:b/>
          <w:bCs/>
          <w:iCs/>
          <w:szCs w:val="21"/>
        </w:rPr>
        <w:t>C.</w:t>
      </w:r>
      <w:r>
        <w:rPr>
          <w:rFonts w:hint="eastAsia" w:ascii="Times New Roman" w:hAnsi="宋体"/>
          <w:b/>
          <w:bCs/>
          <w:i/>
          <w:iCs/>
          <w:szCs w:val="21"/>
        </w:rPr>
        <w:t>排气指示剂</w:t>
      </w:r>
    </w:p>
    <w:p w14:paraId="7B18BC88">
      <w:pPr>
        <w:spacing w:line="360" w:lineRule="auto"/>
        <w:ind w:left="420" w:leftChars="200"/>
        <w:rPr>
          <w:rFonts w:ascii="Times New Roman" w:hAnsi="Times New Roman"/>
          <w:szCs w:val="21"/>
        </w:rPr>
      </w:pPr>
      <w:r>
        <w:rPr>
          <w:rFonts w:hint="eastAsia" w:ascii="Times New Roman" w:hAnsi="宋体"/>
          <w:szCs w:val="21"/>
        </w:rPr>
        <w:t>医疗服务人员在</w:t>
      </w:r>
      <w:r>
        <w:rPr>
          <w:rFonts w:ascii="Times New Roman" w:hAnsi="Times New Roman"/>
          <w:szCs w:val="21"/>
        </w:rPr>
        <w:t>Bowie Dick</w:t>
      </w:r>
      <w:r>
        <w:rPr>
          <w:rFonts w:hint="eastAsia" w:ascii="Times New Roman" w:hAnsi="宋体"/>
          <w:szCs w:val="21"/>
        </w:rPr>
        <w:t>等测试包中使用排气指示剂来评估真空灭菌器排气以及允许蒸汽进入包装之后的商品和多孔载荷的能力。测试包通常放置在舱室上方另一个空的舱室。低效的排气、漏气或者蒸汽供应中的不凝性气体可能会导致排气指示剂的不完全变化，例如：不均匀的颜色变化。</w:t>
      </w:r>
      <w:r>
        <w:rPr>
          <w:rFonts w:ascii="Times New Roman" w:hAnsi="Times New Roman"/>
          <w:szCs w:val="21"/>
        </w:rPr>
        <w:t>Bowie Dick</w:t>
      </w:r>
      <w:r>
        <w:rPr>
          <w:rFonts w:hint="eastAsia" w:ascii="Times New Roman" w:hAnsi="宋体"/>
          <w:szCs w:val="21"/>
        </w:rPr>
        <w:t>测试并不能表明灭菌器已经达到灭菌的各项参数。</w:t>
      </w:r>
    </w:p>
    <w:p w14:paraId="772A51B2">
      <w:pPr>
        <w:spacing w:before="240" w:line="360" w:lineRule="auto"/>
        <w:outlineLvl w:val="0"/>
        <w:rPr>
          <w:rFonts w:ascii="Times New Roman" w:hAnsi="Times New Roman"/>
          <w:sz w:val="28"/>
          <w:szCs w:val="28"/>
        </w:rPr>
      </w:pPr>
      <w:bookmarkStart w:id="30" w:name="FDA_Recognized_Standards"/>
      <w:bookmarkEnd w:id="30"/>
      <w:bookmarkStart w:id="31" w:name="_Toc499728073"/>
      <w:r>
        <w:rPr>
          <w:rFonts w:hint="eastAsia" w:ascii="Times New Roman" w:hAnsi="宋体"/>
          <w:b/>
          <w:bCs/>
          <w:sz w:val="28"/>
          <w:szCs w:val="28"/>
        </w:rPr>
        <w:t>六：美国食品药品管理局认可的标准</w:t>
      </w:r>
      <w:bookmarkEnd w:id="31"/>
    </w:p>
    <w:p w14:paraId="60072410">
      <w:pPr>
        <w:spacing w:before="240" w:line="360" w:lineRule="auto"/>
        <w:rPr>
          <w:rFonts w:ascii="Times New Roman" w:hAnsi="Times New Roman"/>
          <w:color w:val="0000FF"/>
          <w:szCs w:val="21"/>
        </w:rPr>
      </w:pPr>
      <w:r>
        <w:rPr>
          <w:rFonts w:hint="eastAsia" w:ascii="Times New Roman" w:hAnsi="宋体"/>
          <w:szCs w:val="21"/>
        </w:rPr>
        <w:t>如果器械设计或测试的某一部分采用了美国食品药品管理局认可的标准，则你们可以提交（</w:t>
      </w:r>
      <w:r>
        <w:rPr>
          <w:rFonts w:ascii="Times New Roman" w:hAnsi="Times New Roman"/>
          <w:szCs w:val="21"/>
        </w:rPr>
        <w:t>1</w:t>
      </w:r>
      <w:r>
        <w:rPr>
          <w:rFonts w:hint="eastAsia" w:ascii="Times New Roman" w:hAnsi="宋体"/>
          <w:szCs w:val="21"/>
        </w:rPr>
        <w:t>）一份声明，表明将会在产品上市之前进行测试并符合特定的验收标准，或者（</w:t>
      </w:r>
      <w:r>
        <w:rPr>
          <w:rFonts w:ascii="Times New Roman" w:hAnsi="Times New Roman"/>
          <w:szCs w:val="21"/>
        </w:rPr>
        <w:t>2</w:t>
      </w:r>
      <w:r>
        <w:rPr>
          <w:rFonts w:hint="eastAsia" w:ascii="Times New Roman" w:hAnsi="宋体"/>
          <w:szCs w:val="21"/>
        </w:rPr>
        <w:t>）代替数据的符合标准的声明。</w:t>
      </w:r>
      <w:r>
        <w:rPr>
          <w:rStyle w:val="16"/>
          <w:rFonts w:ascii="Times New Roman" w:hAnsi="宋体"/>
          <w:szCs w:val="21"/>
        </w:rPr>
        <w:footnoteReference w:id="3"/>
      </w:r>
      <w:r>
        <w:rPr>
          <w:rFonts w:hint="eastAsia" w:ascii="Times New Roman" w:hAnsi="宋体"/>
          <w:szCs w:val="21"/>
        </w:rPr>
        <w:t>请注意必须在提交与公认标准的一致性声明之前完成测试（《法案》第</w:t>
      </w:r>
      <w:r>
        <w:rPr>
          <w:rFonts w:ascii="Times New Roman" w:hAnsi="Times New Roman"/>
          <w:szCs w:val="21"/>
        </w:rPr>
        <w:t>514(c)(1)(B)</w:t>
      </w:r>
      <w:r>
        <w:rPr>
          <w:rFonts w:hint="eastAsia" w:ascii="Times New Roman" w:hAnsi="宋体"/>
          <w:szCs w:val="21"/>
        </w:rPr>
        <w:t>节）。更多信息，参见美国食品药品管理局指南</w:t>
      </w:r>
      <w:r>
        <w:rPr>
          <w:rFonts w:hint="eastAsia" w:ascii="Times New Roman" w:hAnsi="宋体"/>
          <w:b/>
          <w:szCs w:val="21"/>
        </w:rPr>
        <w:t>《实质等效性判定标准使用：工业和美国食品药品管理局最终指南》</w:t>
      </w:r>
      <w:r>
        <w:fldChar w:fldCharType="begin"/>
      </w:r>
      <w:r>
        <w:instrText xml:space="preserve"> HYPERLINK "http://www.fda.gov/cdrh/ode/guidance/1131.html" </w:instrText>
      </w:r>
      <w:r>
        <w:fldChar w:fldCharType="separate"/>
      </w:r>
      <w:r>
        <w:rPr>
          <w:rStyle w:val="14"/>
          <w:rFonts w:ascii="Times New Roman" w:hAnsi="Times New Roman"/>
          <w:szCs w:val="21"/>
        </w:rPr>
        <w:t>http://www.fda.gov/cdrh/ode/guidance/1131.html.</w:t>
      </w:r>
      <w:r>
        <w:rPr>
          <w:rStyle w:val="14"/>
          <w:rFonts w:ascii="Times New Roman" w:hAnsi="Times New Roman"/>
          <w:szCs w:val="21"/>
        </w:rPr>
        <w:fldChar w:fldCharType="end"/>
      </w:r>
      <w:r>
        <w:rPr>
          <w:rFonts w:hint="eastAsia" w:ascii="Times New Roman" w:hAnsi="宋体"/>
          <w:color w:val="0000FF"/>
          <w:szCs w:val="21"/>
        </w:rPr>
        <w:t>。</w:t>
      </w:r>
    </w:p>
    <w:p w14:paraId="7253CC9D">
      <w:pPr>
        <w:spacing w:line="360" w:lineRule="auto"/>
        <w:rPr>
          <w:rFonts w:ascii="Times New Roman" w:hAnsi="Times New Roman"/>
          <w:szCs w:val="21"/>
        </w:rPr>
      </w:pPr>
      <w:r>
        <w:rPr>
          <w:rFonts w:hint="eastAsia" w:ascii="Times New Roman" w:hAnsi="宋体"/>
          <w:szCs w:val="21"/>
        </w:rPr>
        <w:t>适用于化学指示剂的公认标准在下列章节进行介绍。</w:t>
      </w:r>
    </w:p>
    <w:p w14:paraId="3743AA3A">
      <w:pPr>
        <w:spacing w:before="240" w:line="360" w:lineRule="auto"/>
        <w:outlineLvl w:val="0"/>
        <w:rPr>
          <w:rFonts w:ascii="Times New Roman" w:hAnsi="Times New Roman"/>
          <w:sz w:val="28"/>
          <w:szCs w:val="28"/>
        </w:rPr>
      </w:pPr>
      <w:r>
        <w:rPr>
          <w:rFonts w:ascii="Times New Roman" w:hAnsi="Times New Roman"/>
          <w:szCs w:val="21"/>
        </w:rPr>
        <w:br w:type="page"/>
      </w:r>
      <w:bookmarkStart w:id="32" w:name="Performance_Characteristics"/>
      <w:bookmarkEnd w:id="32"/>
      <w:bookmarkStart w:id="33" w:name="_Toc499728074"/>
      <w:r>
        <w:rPr>
          <w:rFonts w:hint="eastAsia" w:ascii="Times New Roman" w:hAnsi="宋体"/>
          <w:b/>
          <w:sz w:val="28"/>
          <w:szCs w:val="28"/>
        </w:rPr>
        <w:t>七：</w:t>
      </w:r>
      <w:r>
        <w:rPr>
          <w:rFonts w:hint="eastAsia" w:ascii="Times New Roman" w:hAnsi="宋体"/>
          <w:b/>
          <w:bCs/>
          <w:sz w:val="28"/>
          <w:szCs w:val="28"/>
        </w:rPr>
        <w:t>性能特点</w:t>
      </w:r>
      <w:bookmarkEnd w:id="33"/>
    </w:p>
    <w:p w14:paraId="1DC3817B">
      <w:pPr>
        <w:spacing w:before="240" w:line="360" w:lineRule="auto"/>
        <w:rPr>
          <w:rFonts w:ascii="Times New Roman" w:hAnsi="Times New Roman"/>
          <w:szCs w:val="21"/>
        </w:rPr>
      </w:pPr>
      <w:r>
        <w:rPr>
          <w:rFonts w:hint="eastAsia" w:ascii="Times New Roman" w:hAnsi="宋体"/>
          <w:szCs w:val="21"/>
        </w:rPr>
        <w:t>你们应该提供足够的信息，以便美国食品药品管理局对化学指示剂的终点规格和性能进行评估。为了向使用者提供有关使用的充分说明，开始以及终点外观之间或者处理完化学指示剂之后发生的物理</w:t>
      </w:r>
      <w:r>
        <w:rPr>
          <w:rFonts w:ascii="Times New Roman" w:hAnsi="Times New Roman"/>
          <w:szCs w:val="21"/>
        </w:rPr>
        <w:t>/</w:t>
      </w:r>
      <w:r>
        <w:rPr>
          <w:rFonts w:hint="eastAsia" w:ascii="Times New Roman" w:hAnsi="宋体"/>
          <w:szCs w:val="21"/>
        </w:rPr>
        <w:t>化学变化应该有很强的视觉对比，例如：颜色变化。</w:t>
      </w:r>
    </w:p>
    <w:p w14:paraId="71D84FBF">
      <w:pPr>
        <w:spacing w:before="240" w:line="360" w:lineRule="auto"/>
        <w:rPr>
          <w:rFonts w:ascii="Times New Roman" w:hAnsi="Times New Roman"/>
          <w:szCs w:val="21"/>
        </w:rPr>
      </w:pPr>
      <w:r>
        <w:rPr>
          <w:rFonts w:hint="eastAsia" w:ascii="Times New Roman" w:hAnsi="宋体"/>
          <w:szCs w:val="21"/>
        </w:rPr>
        <w:t>你们应该提供化学指示剂预计将会发生反应的临界参数。对于医疗机构通常采用的传统灭菌过程，美国国家标准学会</w:t>
      </w:r>
      <w:r>
        <w:rPr>
          <w:rFonts w:ascii="Times New Roman" w:hAnsi="Times New Roman"/>
          <w:szCs w:val="21"/>
        </w:rPr>
        <w:t>/</w:t>
      </w:r>
      <w:r>
        <w:rPr>
          <w:rFonts w:hint="eastAsia" w:ascii="Times New Roman" w:hAnsi="宋体"/>
          <w:szCs w:val="21"/>
        </w:rPr>
        <w:t>美国医疗器械促进协会标准</w:t>
      </w:r>
      <w:r>
        <w:rPr>
          <w:rFonts w:ascii="Times New Roman" w:hAnsi="Times New Roman"/>
          <w:szCs w:val="21"/>
        </w:rPr>
        <w:t>60</w:t>
      </w:r>
      <w:r>
        <w:rPr>
          <w:rFonts w:hint="eastAsia" w:ascii="Times New Roman" w:hAnsi="宋体"/>
          <w:szCs w:val="21"/>
        </w:rPr>
        <w:t>（见</w:t>
      </w:r>
      <w:r>
        <w:rPr>
          <w:rFonts w:ascii="Times New Roman" w:hAnsi="Times New Roman"/>
          <w:b/>
          <w:bCs/>
          <w:szCs w:val="21"/>
        </w:rPr>
        <w:t>XII.</w:t>
      </w:r>
      <w:r>
        <w:rPr>
          <w:rFonts w:hint="eastAsia" w:ascii="Times New Roman" w:hAnsi="宋体"/>
          <w:b/>
          <w:szCs w:val="21"/>
        </w:rPr>
        <w:t>参考文献</w:t>
      </w:r>
      <w:r>
        <w:rPr>
          <w:rFonts w:hint="eastAsia" w:ascii="Times New Roman" w:hAnsi="宋体"/>
          <w:szCs w:val="21"/>
        </w:rPr>
        <w:t>）规定了表</w:t>
      </w:r>
      <w:r>
        <w:rPr>
          <w:rFonts w:ascii="Times New Roman" w:hAnsi="Times New Roman"/>
          <w:szCs w:val="21"/>
        </w:rPr>
        <w:t>2</w:t>
      </w:r>
      <w:r>
        <w:rPr>
          <w:rFonts w:hint="eastAsia" w:ascii="Times New Roman" w:hAnsi="宋体"/>
          <w:szCs w:val="21"/>
        </w:rPr>
        <w:t>中展示的临界参数。</w:t>
      </w:r>
    </w:p>
    <w:p w14:paraId="79D5B293">
      <w:pPr>
        <w:spacing w:before="240" w:line="360" w:lineRule="auto"/>
        <w:rPr>
          <w:rFonts w:ascii="Times New Roman" w:hAnsi="Times New Roman"/>
          <w:szCs w:val="21"/>
        </w:rPr>
      </w:pPr>
      <w:r>
        <w:rPr>
          <w:rFonts w:hint="eastAsia" w:ascii="Times New Roman" w:hAnsi="宋体"/>
          <w:b/>
          <w:bCs/>
          <w:szCs w:val="21"/>
        </w:rPr>
        <w:t>表</w:t>
      </w:r>
      <w:r>
        <w:rPr>
          <w:rFonts w:ascii="Times New Roman" w:hAnsi="Times New Roman"/>
          <w:b/>
          <w:bCs/>
          <w:szCs w:val="21"/>
        </w:rPr>
        <w:t>2-</w:t>
      </w:r>
      <w:r>
        <w:rPr>
          <w:rFonts w:hint="eastAsia" w:ascii="Times New Roman" w:hAnsi="宋体"/>
          <w:b/>
          <w:bCs/>
          <w:szCs w:val="21"/>
        </w:rPr>
        <w:t>传统灭菌过程的临界参数</w:t>
      </w:r>
    </w:p>
    <w:tbl>
      <w:tblPr>
        <w:tblStyle w:val="12"/>
        <w:tblW w:w="5000" w:type="pct"/>
        <w:tblInd w:w="0" w:type="dxa"/>
        <w:tblLayout w:type="autofit"/>
        <w:tblCellMar>
          <w:top w:w="0" w:type="dxa"/>
          <w:left w:w="0" w:type="dxa"/>
          <w:bottom w:w="0" w:type="dxa"/>
          <w:right w:w="0" w:type="dxa"/>
        </w:tblCellMar>
      </w:tblPr>
      <w:tblGrid>
        <w:gridCol w:w="3373"/>
        <w:gridCol w:w="5103"/>
      </w:tblGrid>
      <w:tr w14:paraId="586F8E1D">
        <w:tblPrEx>
          <w:tblCellMar>
            <w:top w:w="0" w:type="dxa"/>
            <w:left w:w="0" w:type="dxa"/>
            <w:bottom w:w="0" w:type="dxa"/>
            <w:right w:w="0" w:type="dxa"/>
          </w:tblCellMar>
        </w:tblPrEx>
        <w:tc>
          <w:tcPr>
            <w:tcW w:w="1990" w:type="pct"/>
            <w:tcBorders>
              <w:top w:val="single" w:color="000000" w:sz="4" w:space="0"/>
              <w:left w:val="single" w:color="000000" w:sz="4" w:space="0"/>
              <w:bottom w:val="single" w:color="000000" w:sz="4" w:space="0"/>
              <w:right w:val="single" w:color="000000" w:sz="4" w:space="0"/>
            </w:tcBorders>
            <w:shd w:val="clear" w:color="auto" w:fill="CCFFFF"/>
            <w:tcMar>
              <w:left w:w="85" w:type="dxa"/>
              <w:right w:w="85" w:type="dxa"/>
            </w:tcMar>
            <w:vAlign w:val="center"/>
          </w:tcPr>
          <w:p w14:paraId="292ABF77">
            <w:pPr>
              <w:spacing w:line="360" w:lineRule="auto"/>
              <w:jc w:val="center"/>
              <w:rPr>
                <w:rFonts w:ascii="Times New Roman" w:hAnsi="Times New Roman"/>
                <w:szCs w:val="21"/>
              </w:rPr>
            </w:pPr>
            <w:r>
              <w:rPr>
                <w:rFonts w:hint="eastAsia" w:ascii="Times New Roman" w:hAnsi="宋体"/>
                <w:b/>
                <w:bCs/>
                <w:szCs w:val="21"/>
              </w:rPr>
              <w:t>灭菌过程</w:t>
            </w:r>
          </w:p>
        </w:tc>
        <w:tc>
          <w:tcPr>
            <w:tcW w:w="3010" w:type="pct"/>
            <w:tcBorders>
              <w:top w:val="single" w:color="000000" w:sz="4" w:space="0"/>
              <w:left w:val="single" w:color="000000" w:sz="4" w:space="0"/>
              <w:bottom w:val="single" w:color="000000" w:sz="4" w:space="0"/>
              <w:right w:val="single" w:color="000000" w:sz="4" w:space="0"/>
            </w:tcBorders>
            <w:shd w:val="clear" w:color="auto" w:fill="CCFFFF"/>
            <w:tcMar>
              <w:left w:w="85" w:type="dxa"/>
              <w:right w:w="85" w:type="dxa"/>
            </w:tcMar>
            <w:vAlign w:val="center"/>
          </w:tcPr>
          <w:p w14:paraId="62B183A3">
            <w:pPr>
              <w:spacing w:line="360" w:lineRule="auto"/>
              <w:jc w:val="center"/>
              <w:rPr>
                <w:rFonts w:ascii="Times New Roman" w:hAnsi="Times New Roman"/>
                <w:szCs w:val="21"/>
              </w:rPr>
            </w:pPr>
            <w:r>
              <w:rPr>
                <w:rFonts w:hint="eastAsia" w:ascii="Times New Roman" w:hAnsi="宋体"/>
                <w:b/>
                <w:szCs w:val="21"/>
              </w:rPr>
              <w:t>临界参数</w:t>
            </w:r>
            <w:r>
              <w:rPr>
                <w:rFonts w:ascii="Times New Roman" w:hAnsi="Times New Roman"/>
                <w:szCs w:val="21"/>
                <w:vertAlign w:val="superscript"/>
              </w:rPr>
              <w:t>a</w:t>
            </w:r>
          </w:p>
        </w:tc>
      </w:tr>
      <w:tr w14:paraId="04CB53D3">
        <w:tblPrEx>
          <w:tblCellMar>
            <w:top w:w="0" w:type="dxa"/>
            <w:left w:w="0" w:type="dxa"/>
            <w:bottom w:w="0" w:type="dxa"/>
            <w:right w:w="0" w:type="dxa"/>
          </w:tblCellMar>
        </w:tblPrEx>
        <w:tc>
          <w:tcPr>
            <w:tcW w:w="1990"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3D630206">
            <w:pPr>
              <w:spacing w:line="360" w:lineRule="auto"/>
              <w:rPr>
                <w:rFonts w:ascii="Times New Roman" w:hAnsi="Times New Roman"/>
                <w:szCs w:val="21"/>
              </w:rPr>
            </w:pPr>
            <w:r>
              <w:rPr>
                <w:rFonts w:hint="eastAsia" w:ascii="Times New Roman" w:hAnsi="宋体"/>
                <w:szCs w:val="21"/>
              </w:rPr>
              <w:t>蒸汽</w:t>
            </w:r>
          </w:p>
        </w:tc>
        <w:tc>
          <w:tcPr>
            <w:tcW w:w="3010"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62741835">
            <w:pPr>
              <w:spacing w:line="360" w:lineRule="auto"/>
              <w:rPr>
                <w:rFonts w:ascii="Times New Roman" w:hAnsi="Times New Roman"/>
                <w:szCs w:val="21"/>
              </w:rPr>
            </w:pPr>
            <w:r>
              <w:rPr>
                <w:rFonts w:hint="eastAsia" w:ascii="Times New Roman" w:hAnsi="宋体"/>
                <w:szCs w:val="21"/>
              </w:rPr>
              <w:t>时间、温度、饱和蒸汽</w:t>
            </w:r>
          </w:p>
        </w:tc>
      </w:tr>
      <w:tr w14:paraId="48356AEC">
        <w:tblPrEx>
          <w:tblCellMar>
            <w:top w:w="0" w:type="dxa"/>
            <w:left w:w="0" w:type="dxa"/>
            <w:bottom w:w="0" w:type="dxa"/>
            <w:right w:w="0" w:type="dxa"/>
          </w:tblCellMar>
        </w:tblPrEx>
        <w:tc>
          <w:tcPr>
            <w:tcW w:w="1990"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04B2D462">
            <w:pPr>
              <w:spacing w:line="360" w:lineRule="auto"/>
              <w:rPr>
                <w:rFonts w:ascii="Times New Roman" w:hAnsi="Times New Roman"/>
                <w:szCs w:val="21"/>
              </w:rPr>
            </w:pPr>
            <w:r>
              <w:rPr>
                <w:rFonts w:hint="eastAsia" w:ascii="Times New Roman" w:hAnsi="宋体"/>
                <w:szCs w:val="21"/>
              </w:rPr>
              <w:t>干热灭菌法</w:t>
            </w:r>
          </w:p>
        </w:tc>
        <w:tc>
          <w:tcPr>
            <w:tcW w:w="3010"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4EA31582">
            <w:pPr>
              <w:spacing w:line="360" w:lineRule="auto"/>
              <w:rPr>
                <w:rFonts w:ascii="Times New Roman" w:hAnsi="Times New Roman"/>
                <w:szCs w:val="21"/>
              </w:rPr>
            </w:pPr>
            <w:r>
              <w:rPr>
                <w:rFonts w:hint="eastAsia" w:ascii="Times New Roman" w:hAnsi="宋体"/>
                <w:szCs w:val="21"/>
              </w:rPr>
              <w:t>时间、温度</w:t>
            </w:r>
          </w:p>
        </w:tc>
      </w:tr>
      <w:tr w14:paraId="5014A839">
        <w:tblPrEx>
          <w:tblCellMar>
            <w:top w:w="0" w:type="dxa"/>
            <w:left w:w="0" w:type="dxa"/>
            <w:bottom w:w="0" w:type="dxa"/>
            <w:right w:w="0" w:type="dxa"/>
          </w:tblCellMar>
        </w:tblPrEx>
        <w:tc>
          <w:tcPr>
            <w:tcW w:w="1990"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54887A93">
            <w:pPr>
              <w:spacing w:line="360" w:lineRule="auto"/>
              <w:rPr>
                <w:rFonts w:ascii="Times New Roman" w:hAnsi="Times New Roman"/>
                <w:szCs w:val="21"/>
              </w:rPr>
            </w:pPr>
            <w:r>
              <w:rPr>
                <w:rFonts w:hint="eastAsia" w:ascii="Times New Roman" w:hAnsi="宋体"/>
                <w:szCs w:val="21"/>
              </w:rPr>
              <w:t>环氧乙烷（</w:t>
            </w:r>
            <w:r>
              <w:rPr>
                <w:rFonts w:ascii="Times New Roman" w:hAnsi="Times New Roman"/>
                <w:szCs w:val="21"/>
              </w:rPr>
              <w:t>EO</w:t>
            </w:r>
            <w:r>
              <w:rPr>
                <w:rFonts w:hint="eastAsia" w:ascii="Times New Roman" w:hAnsi="宋体"/>
                <w:szCs w:val="21"/>
              </w:rPr>
              <w:t>）</w:t>
            </w:r>
          </w:p>
        </w:tc>
        <w:tc>
          <w:tcPr>
            <w:tcW w:w="3010"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651BA326">
            <w:pPr>
              <w:spacing w:line="360" w:lineRule="auto"/>
              <w:rPr>
                <w:rFonts w:ascii="Times New Roman" w:hAnsi="Times New Roman"/>
                <w:szCs w:val="21"/>
              </w:rPr>
            </w:pPr>
            <w:r>
              <w:rPr>
                <w:rFonts w:hint="eastAsia" w:ascii="Times New Roman" w:hAnsi="宋体"/>
                <w:szCs w:val="21"/>
              </w:rPr>
              <w:t>时间、温度、湿度、环氧乙烷浓度</w:t>
            </w:r>
          </w:p>
        </w:tc>
      </w:tr>
    </w:tbl>
    <w:p w14:paraId="303A1AEB">
      <w:pPr>
        <w:spacing w:line="360" w:lineRule="auto"/>
        <w:rPr>
          <w:rFonts w:ascii="Times New Roman" w:hAnsi="Times New Roman"/>
          <w:szCs w:val="21"/>
        </w:rPr>
      </w:pPr>
      <w:r>
        <w:rPr>
          <w:rFonts w:ascii="Times New Roman" w:hAnsi="Times New Roman"/>
          <w:szCs w:val="21"/>
          <w:vertAlign w:val="superscript"/>
        </w:rPr>
        <w:t>a</w:t>
      </w:r>
      <w:r>
        <w:rPr>
          <w:rFonts w:hint="eastAsia" w:ascii="Times New Roman" w:hAnsi="宋体"/>
          <w:szCs w:val="21"/>
        </w:rPr>
        <w:t>化学指示剂不测试的临界参数是蒸汽质量或蒸汽灭菌过程中饱和蒸汽的程度以及环氧乙烷灭菌过程中的相对湿度。当化学指示剂的性能在特定条件下控制这些临界参数的时候，应对其进行评估。这些特定的条件称为极限值。饱和蒸汽的极限值，也叫蒸汽干燥值，为</w:t>
      </w:r>
      <w:r>
        <w:rPr>
          <w:rFonts w:ascii="Times New Roman" w:hAnsi="Times New Roman"/>
          <w:szCs w:val="21"/>
        </w:rPr>
        <w:t xml:space="preserve"> 0.85 –1.0</w:t>
      </w:r>
      <w:r>
        <w:rPr>
          <w:rFonts w:hint="eastAsia" w:ascii="Times New Roman" w:hAnsi="宋体"/>
          <w:szCs w:val="21"/>
        </w:rPr>
        <w:t>。环氧乙烷相对湿度的极限值大于</w:t>
      </w:r>
      <w:r>
        <w:rPr>
          <w:rFonts w:ascii="Times New Roman" w:hAnsi="Times New Roman"/>
          <w:szCs w:val="21"/>
        </w:rPr>
        <w:t>30%</w:t>
      </w:r>
      <w:r>
        <w:rPr>
          <w:rFonts w:hint="eastAsia" w:ascii="Times New Roman" w:hAnsi="宋体"/>
          <w:szCs w:val="21"/>
        </w:rPr>
        <w:t>。</w:t>
      </w:r>
    </w:p>
    <w:p w14:paraId="70B75700">
      <w:pPr>
        <w:spacing w:before="240" w:line="360" w:lineRule="auto"/>
        <w:rPr>
          <w:rFonts w:ascii="Times New Roman" w:hAnsi="Times New Roman"/>
          <w:szCs w:val="21"/>
        </w:rPr>
      </w:pPr>
      <w:r>
        <w:rPr>
          <w:rFonts w:hint="eastAsia" w:ascii="Times New Roman" w:hAnsi="宋体"/>
          <w:szCs w:val="21"/>
        </w:rPr>
        <w:t>美国食品药品管理局建议你们在</w:t>
      </w:r>
      <w:r>
        <w:rPr>
          <w:rFonts w:ascii="Times New Roman" w:hAnsi="Times New Roman"/>
          <w:szCs w:val="21"/>
        </w:rPr>
        <w:t>510(k)</w:t>
      </w:r>
      <w:r>
        <w:rPr>
          <w:rFonts w:hint="eastAsia" w:ascii="Times New Roman" w:hAnsi="宋体"/>
          <w:szCs w:val="21"/>
        </w:rPr>
        <w:t>中提供下列信息：</w:t>
      </w:r>
    </w:p>
    <w:p w14:paraId="407DADC1">
      <w:pPr>
        <w:numPr>
          <w:ilvl w:val="0"/>
          <w:numId w:val="5"/>
        </w:numPr>
        <w:spacing w:line="360" w:lineRule="auto"/>
        <w:ind w:left="420" w:leftChars="200"/>
        <w:rPr>
          <w:rFonts w:ascii="Times New Roman" w:hAnsi="Times New Roman"/>
          <w:szCs w:val="21"/>
        </w:rPr>
      </w:pPr>
      <w:r>
        <w:rPr>
          <w:rFonts w:hint="eastAsia" w:ascii="Times New Roman" w:hAnsi="宋体"/>
          <w:szCs w:val="21"/>
        </w:rPr>
        <w:t>研究目的的明确声明</w:t>
      </w:r>
    </w:p>
    <w:p w14:paraId="2BE7F6B9">
      <w:pPr>
        <w:numPr>
          <w:ilvl w:val="0"/>
          <w:numId w:val="5"/>
        </w:numPr>
        <w:spacing w:line="360" w:lineRule="auto"/>
        <w:ind w:left="420" w:leftChars="200"/>
        <w:rPr>
          <w:rFonts w:ascii="Times New Roman" w:hAnsi="Times New Roman"/>
          <w:szCs w:val="21"/>
        </w:rPr>
      </w:pPr>
      <w:r>
        <w:rPr>
          <w:rFonts w:hint="eastAsia" w:ascii="Times New Roman" w:hAnsi="宋体"/>
          <w:szCs w:val="21"/>
        </w:rPr>
        <w:t>使用指示剂的医疗机构所用灭菌过程的介绍，例如：蒸汽、环氧乙烷。</w:t>
      </w:r>
    </w:p>
    <w:p w14:paraId="3D2E0A83">
      <w:pPr>
        <w:numPr>
          <w:ilvl w:val="0"/>
          <w:numId w:val="5"/>
        </w:numPr>
        <w:spacing w:line="360" w:lineRule="auto"/>
        <w:ind w:left="420" w:leftChars="200"/>
        <w:rPr>
          <w:rFonts w:ascii="Times New Roman" w:hAnsi="Times New Roman"/>
          <w:szCs w:val="21"/>
        </w:rPr>
      </w:pPr>
      <w:r>
        <w:rPr>
          <w:rFonts w:hint="eastAsia" w:ascii="Times New Roman" w:hAnsi="宋体"/>
          <w:szCs w:val="21"/>
        </w:rPr>
        <w:t>使用指示剂的医疗机构所用灭菌周期的介绍，例如：在</w:t>
      </w:r>
      <w:r>
        <w:rPr>
          <w:rFonts w:ascii="Times New Roman" w:hAnsi="Times New Roman"/>
          <w:szCs w:val="21"/>
        </w:rPr>
        <w:t>121</w:t>
      </w:r>
      <w:r>
        <w:rPr>
          <w:rFonts w:ascii="Times New Roman" w:hAnsi="宋体"/>
          <w:szCs w:val="21"/>
        </w:rPr>
        <w:t>℃</w:t>
      </w:r>
      <w:r>
        <w:rPr>
          <w:rFonts w:hint="eastAsia" w:ascii="Times New Roman" w:hAnsi="Times New Roman"/>
          <w:szCs w:val="21"/>
        </w:rPr>
        <w:t>环境下</w:t>
      </w:r>
      <w:r>
        <w:rPr>
          <w:rFonts w:hint="eastAsia" w:ascii="Times New Roman" w:hAnsi="宋体"/>
          <w:szCs w:val="21"/>
        </w:rPr>
        <w:t>重力循环</w:t>
      </w:r>
      <w:r>
        <w:rPr>
          <w:rFonts w:ascii="Times New Roman" w:hAnsi="Times New Roman"/>
          <w:szCs w:val="21"/>
        </w:rPr>
        <w:t>15</w:t>
      </w:r>
      <w:r>
        <w:rPr>
          <w:rFonts w:hint="eastAsia" w:ascii="Times New Roman" w:hAnsi="宋体"/>
          <w:szCs w:val="21"/>
        </w:rPr>
        <w:t>分钟。</w:t>
      </w:r>
    </w:p>
    <w:p w14:paraId="17A05F76">
      <w:pPr>
        <w:numPr>
          <w:ilvl w:val="0"/>
          <w:numId w:val="5"/>
        </w:numPr>
        <w:spacing w:line="360" w:lineRule="auto"/>
        <w:ind w:left="420" w:leftChars="200"/>
        <w:rPr>
          <w:rFonts w:ascii="Times New Roman" w:hAnsi="Times New Roman"/>
          <w:szCs w:val="21"/>
        </w:rPr>
      </w:pPr>
      <w:r>
        <w:rPr>
          <w:rFonts w:hint="eastAsia" w:ascii="Times New Roman" w:hAnsi="宋体"/>
          <w:szCs w:val="21"/>
        </w:rPr>
        <w:t>指示剂将会发生反应的临界参数</w:t>
      </w:r>
    </w:p>
    <w:p w14:paraId="4135FA12">
      <w:pPr>
        <w:numPr>
          <w:ilvl w:val="0"/>
          <w:numId w:val="5"/>
        </w:numPr>
        <w:spacing w:line="360" w:lineRule="auto"/>
        <w:ind w:left="420" w:leftChars="200"/>
        <w:rPr>
          <w:rFonts w:ascii="Times New Roman" w:hAnsi="Times New Roman"/>
          <w:szCs w:val="21"/>
        </w:rPr>
      </w:pPr>
      <w:r>
        <w:rPr>
          <w:rFonts w:hint="eastAsia" w:ascii="Times New Roman" w:hAnsi="宋体"/>
          <w:szCs w:val="21"/>
        </w:rPr>
        <w:t>合格</w:t>
      </w:r>
      <w:r>
        <w:rPr>
          <w:rFonts w:ascii="Times New Roman" w:hAnsi="Times New Roman"/>
          <w:szCs w:val="21"/>
        </w:rPr>
        <w:t>/</w:t>
      </w:r>
      <w:r>
        <w:rPr>
          <w:rFonts w:hint="eastAsia" w:ascii="Times New Roman" w:hAnsi="宋体"/>
          <w:szCs w:val="21"/>
        </w:rPr>
        <w:t>不合格标准的说明</w:t>
      </w:r>
    </w:p>
    <w:p w14:paraId="1B5BAD98">
      <w:pPr>
        <w:numPr>
          <w:ilvl w:val="0"/>
          <w:numId w:val="5"/>
        </w:numPr>
        <w:spacing w:line="360" w:lineRule="auto"/>
        <w:ind w:left="420" w:leftChars="200"/>
        <w:rPr>
          <w:rFonts w:ascii="Times New Roman" w:hAnsi="Times New Roman"/>
          <w:szCs w:val="21"/>
        </w:rPr>
      </w:pPr>
      <w:r>
        <w:rPr>
          <w:rFonts w:hint="eastAsia" w:ascii="Times New Roman" w:hAnsi="宋体"/>
          <w:szCs w:val="21"/>
        </w:rPr>
        <w:t>阻力计所获得的合格</w:t>
      </w:r>
      <w:r>
        <w:rPr>
          <w:rFonts w:ascii="Times New Roman" w:hAnsi="Times New Roman"/>
          <w:szCs w:val="21"/>
        </w:rPr>
        <w:t>/</w:t>
      </w:r>
      <w:r>
        <w:rPr>
          <w:rFonts w:hint="eastAsia" w:ascii="Times New Roman" w:hAnsi="宋体"/>
          <w:szCs w:val="21"/>
        </w:rPr>
        <w:t>不合格结果</w:t>
      </w:r>
    </w:p>
    <w:p w14:paraId="300033B3">
      <w:pPr>
        <w:numPr>
          <w:ilvl w:val="0"/>
          <w:numId w:val="5"/>
        </w:numPr>
        <w:spacing w:line="360" w:lineRule="auto"/>
        <w:ind w:left="420" w:leftChars="200"/>
        <w:rPr>
          <w:rFonts w:ascii="Times New Roman" w:hAnsi="Times New Roman"/>
          <w:szCs w:val="21"/>
        </w:rPr>
      </w:pPr>
      <w:r>
        <w:rPr>
          <w:rFonts w:hint="eastAsia" w:ascii="Times New Roman" w:hAnsi="宋体"/>
          <w:szCs w:val="21"/>
        </w:rPr>
        <w:t>医疗器械实际使用的灭菌周期所获得的合格</w:t>
      </w:r>
      <w:r>
        <w:rPr>
          <w:rFonts w:ascii="Times New Roman" w:hAnsi="Times New Roman"/>
          <w:szCs w:val="21"/>
        </w:rPr>
        <w:t>/</w:t>
      </w:r>
      <w:r>
        <w:rPr>
          <w:rFonts w:hint="eastAsia" w:ascii="Times New Roman" w:hAnsi="宋体"/>
          <w:szCs w:val="21"/>
        </w:rPr>
        <w:t>不合格结果</w:t>
      </w:r>
    </w:p>
    <w:p w14:paraId="466C5A9C">
      <w:pPr>
        <w:numPr>
          <w:ilvl w:val="0"/>
          <w:numId w:val="5"/>
        </w:numPr>
        <w:spacing w:line="360" w:lineRule="auto"/>
        <w:ind w:left="420" w:leftChars="200"/>
        <w:rPr>
          <w:rFonts w:ascii="Times New Roman" w:hAnsi="Times New Roman"/>
          <w:szCs w:val="21"/>
        </w:rPr>
      </w:pPr>
      <w:r>
        <w:rPr>
          <w:rFonts w:hint="eastAsia" w:ascii="Times New Roman" w:hAnsi="宋体"/>
          <w:szCs w:val="21"/>
        </w:rPr>
        <w:t>平行研究中所使用的生物指示剂的阻力信息（如果适用）</w:t>
      </w:r>
    </w:p>
    <w:p w14:paraId="4FA61D55">
      <w:pPr>
        <w:numPr>
          <w:ilvl w:val="0"/>
          <w:numId w:val="5"/>
        </w:numPr>
        <w:spacing w:line="360" w:lineRule="auto"/>
        <w:ind w:left="420" w:leftChars="200"/>
        <w:rPr>
          <w:rFonts w:ascii="Times New Roman" w:hAnsi="Times New Roman"/>
          <w:szCs w:val="21"/>
        </w:rPr>
      </w:pPr>
      <w:bookmarkStart w:id="34" w:name="bookmark8"/>
      <w:bookmarkEnd w:id="34"/>
      <w:r>
        <w:rPr>
          <w:rFonts w:ascii="Times New Roman" w:hAnsi="Times New Roman"/>
          <w:szCs w:val="21"/>
        </w:rPr>
        <w:br w:type="page"/>
      </w:r>
      <w:r>
        <w:rPr>
          <w:rFonts w:hint="eastAsia" w:ascii="Times New Roman" w:hAnsi="宋体"/>
          <w:szCs w:val="21"/>
        </w:rPr>
        <w:t>显示你们使用的样本量在统计学上有效的信息，例如：</w:t>
      </w:r>
      <w:r>
        <w:rPr>
          <w:rFonts w:ascii="Times New Roman" w:hAnsi="Times New Roman"/>
          <w:szCs w:val="21"/>
        </w:rPr>
        <w:t>3</w:t>
      </w:r>
      <w:r>
        <w:rPr>
          <w:rFonts w:hint="eastAsia" w:ascii="Times New Roman" w:hAnsi="宋体"/>
          <w:szCs w:val="21"/>
        </w:rPr>
        <w:t>个不同制造过程的三个批次（即每一制造过程一个批次）。</w:t>
      </w:r>
    </w:p>
    <w:p w14:paraId="3CA70393">
      <w:pPr>
        <w:numPr>
          <w:ilvl w:val="0"/>
          <w:numId w:val="5"/>
        </w:numPr>
        <w:spacing w:line="360" w:lineRule="auto"/>
        <w:ind w:left="420" w:leftChars="200"/>
        <w:rPr>
          <w:rFonts w:ascii="Times New Roman" w:hAnsi="Times New Roman"/>
          <w:szCs w:val="21"/>
        </w:rPr>
      </w:pPr>
      <w:r>
        <w:rPr>
          <w:rFonts w:hint="eastAsia" w:ascii="Times New Roman" w:hAnsi="宋体"/>
          <w:szCs w:val="21"/>
        </w:rPr>
        <w:t>对正控制以及负控制的介绍。</w:t>
      </w:r>
    </w:p>
    <w:p w14:paraId="61FEFF7F">
      <w:pPr>
        <w:numPr>
          <w:ilvl w:val="0"/>
          <w:numId w:val="5"/>
        </w:numPr>
        <w:spacing w:line="360" w:lineRule="auto"/>
        <w:ind w:left="420" w:leftChars="200"/>
        <w:rPr>
          <w:rFonts w:ascii="Times New Roman" w:hAnsi="Times New Roman"/>
          <w:szCs w:val="21"/>
        </w:rPr>
      </w:pPr>
      <w:r>
        <w:rPr>
          <w:rFonts w:hint="eastAsia" w:ascii="Times New Roman" w:hAnsi="宋体"/>
          <w:szCs w:val="21"/>
        </w:rPr>
        <w:t>研究得出的结论</w:t>
      </w:r>
    </w:p>
    <w:p w14:paraId="5111C821">
      <w:pPr>
        <w:spacing w:before="240" w:line="360" w:lineRule="auto"/>
        <w:rPr>
          <w:rFonts w:ascii="Times New Roman" w:hAnsi="Times New Roman"/>
          <w:szCs w:val="21"/>
        </w:rPr>
      </w:pPr>
      <w:r>
        <w:rPr>
          <w:rFonts w:hint="eastAsia" w:ascii="Times New Roman" w:hAnsi="宋体"/>
          <w:szCs w:val="21"/>
        </w:rPr>
        <w:t>如果可行，你们也应该提供处理过的和未被处理的指示剂的实际样本。</w:t>
      </w:r>
    </w:p>
    <w:p w14:paraId="7CA82063">
      <w:pPr>
        <w:spacing w:before="240" w:line="360" w:lineRule="auto"/>
        <w:ind w:left="420" w:leftChars="200"/>
        <w:outlineLvl w:val="1"/>
        <w:rPr>
          <w:rFonts w:ascii="Times New Roman" w:hAnsi="Times New Roman"/>
          <w:szCs w:val="21"/>
        </w:rPr>
      </w:pPr>
      <w:bookmarkStart w:id="35" w:name="A_Process_Indicators"/>
      <w:bookmarkEnd w:id="35"/>
      <w:bookmarkStart w:id="36" w:name="_Toc499728075"/>
      <w:r>
        <w:rPr>
          <w:rFonts w:ascii="Times New Roman" w:hAnsi="Times New Roman"/>
          <w:b/>
          <w:bCs/>
          <w:iCs/>
          <w:szCs w:val="21"/>
        </w:rPr>
        <w:t>A.</w:t>
      </w:r>
      <w:r>
        <w:rPr>
          <w:rFonts w:hint="eastAsia" w:ascii="Times New Roman" w:hAnsi="宋体"/>
          <w:b/>
          <w:bCs/>
          <w:i/>
          <w:iCs/>
          <w:szCs w:val="21"/>
        </w:rPr>
        <w:t>过程指示剂</w:t>
      </w:r>
      <w:bookmarkEnd w:id="36"/>
    </w:p>
    <w:p w14:paraId="7574C96C">
      <w:pPr>
        <w:spacing w:line="360" w:lineRule="auto"/>
        <w:ind w:left="420" w:leftChars="200"/>
        <w:rPr>
          <w:rFonts w:ascii="Times New Roman" w:hAnsi="Times New Roman"/>
          <w:szCs w:val="21"/>
        </w:rPr>
      </w:pPr>
      <w:r>
        <w:rPr>
          <w:rFonts w:hint="eastAsia" w:ascii="Times New Roman" w:hAnsi="宋体"/>
          <w:szCs w:val="21"/>
        </w:rPr>
        <w:t>你们应该提供过程指示剂的下列信息。</w:t>
      </w:r>
    </w:p>
    <w:p w14:paraId="3F868A2F">
      <w:pPr>
        <w:spacing w:before="240" w:line="360" w:lineRule="auto"/>
        <w:ind w:left="420" w:leftChars="200"/>
        <w:rPr>
          <w:rFonts w:ascii="Times New Roman" w:hAnsi="Times New Roman"/>
          <w:szCs w:val="21"/>
        </w:rPr>
      </w:pPr>
      <w:r>
        <w:rPr>
          <w:rFonts w:hint="eastAsia" w:ascii="Times New Roman" w:hAnsi="宋体"/>
          <w:szCs w:val="21"/>
        </w:rPr>
        <w:t>为了对过程指示剂进行介绍并证明实质等效性，你们应该提供证明指示剂如何在阻力计中与临界参数反应的合格</w:t>
      </w:r>
      <w:r>
        <w:rPr>
          <w:rFonts w:ascii="Times New Roman" w:hAnsi="Times New Roman"/>
          <w:szCs w:val="21"/>
        </w:rPr>
        <w:t>/</w:t>
      </w:r>
      <w:r>
        <w:rPr>
          <w:rFonts w:hint="eastAsia" w:ascii="Times New Roman" w:hAnsi="宋体"/>
          <w:szCs w:val="21"/>
        </w:rPr>
        <w:t>不合格结果。美国食品药品管理局建议化学指示剂性能测试中所使用的阻力计符合美国国家标准学会</w:t>
      </w:r>
      <w:r>
        <w:rPr>
          <w:rFonts w:ascii="Times New Roman" w:hAnsi="Times New Roman"/>
          <w:szCs w:val="21"/>
        </w:rPr>
        <w:t>/</w:t>
      </w:r>
      <w:r>
        <w:rPr>
          <w:rFonts w:hint="eastAsia" w:ascii="Times New Roman" w:hAnsi="宋体"/>
          <w:szCs w:val="21"/>
        </w:rPr>
        <w:t>美国医疗器械促进协会标准</w:t>
      </w:r>
      <w:r>
        <w:rPr>
          <w:rFonts w:ascii="Times New Roman" w:hAnsi="Times New Roman"/>
          <w:szCs w:val="21"/>
        </w:rPr>
        <w:t>44</w:t>
      </w:r>
      <w:r>
        <w:rPr>
          <w:rFonts w:hint="eastAsia" w:ascii="Times New Roman" w:hAnsi="宋体"/>
          <w:szCs w:val="21"/>
        </w:rPr>
        <w:t>（参见</w:t>
      </w:r>
      <w:r>
        <w:rPr>
          <w:rFonts w:ascii="Times New Roman" w:hAnsi="Times New Roman"/>
          <w:b/>
          <w:bCs/>
          <w:szCs w:val="21"/>
        </w:rPr>
        <w:t>XII.</w:t>
      </w:r>
      <w:r>
        <w:rPr>
          <w:rFonts w:hint="eastAsia" w:ascii="Times New Roman" w:hAnsi="宋体"/>
          <w:b/>
          <w:szCs w:val="21"/>
        </w:rPr>
        <w:t>参考文献</w:t>
      </w:r>
      <w:r>
        <w:rPr>
          <w:rFonts w:hint="eastAsia" w:ascii="Times New Roman" w:hAnsi="宋体"/>
          <w:szCs w:val="21"/>
        </w:rPr>
        <w:t>）的要求。</w:t>
      </w:r>
    </w:p>
    <w:p w14:paraId="120E0948">
      <w:pPr>
        <w:spacing w:before="240" w:line="360" w:lineRule="auto"/>
        <w:ind w:left="420" w:leftChars="200"/>
        <w:rPr>
          <w:rFonts w:ascii="Times New Roman" w:hAnsi="Times New Roman"/>
          <w:szCs w:val="21"/>
        </w:rPr>
      </w:pPr>
      <w:r>
        <w:rPr>
          <w:rFonts w:hint="eastAsia" w:ascii="Times New Roman" w:hAnsi="宋体"/>
          <w:szCs w:val="21"/>
        </w:rPr>
        <w:t>美国食品药品管理局也建议在提交报告中包含显示过程指示剂将会如何与医疗器械中实际使用的灭菌剂发生反应的合格</w:t>
      </w:r>
      <w:r>
        <w:rPr>
          <w:rFonts w:ascii="Times New Roman" w:hAnsi="Times New Roman"/>
          <w:szCs w:val="21"/>
        </w:rPr>
        <w:t>/</w:t>
      </w:r>
      <w:r>
        <w:rPr>
          <w:rFonts w:hint="eastAsia" w:ascii="Times New Roman" w:hAnsi="宋体"/>
          <w:szCs w:val="21"/>
        </w:rPr>
        <w:t>不合格结果。这些结果应该与阻力计通气的结果进行比较。如果阻力计与医疗机构灭菌剂的结果之间存在差异，则你们应该在标签上提供这一信息。</w:t>
      </w:r>
    </w:p>
    <w:p w14:paraId="0F1669ED">
      <w:pPr>
        <w:spacing w:before="240" w:line="360" w:lineRule="auto"/>
        <w:ind w:left="840" w:leftChars="400"/>
        <w:rPr>
          <w:rFonts w:ascii="Times New Roman" w:hAnsi="Times New Roman"/>
          <w:szCs w:val="21"/>
        </w:rPr>
      </w:pPr>
      <w:r>
        <w:rPr>
          <w:rFonts w:hint="eastAsia" w:ascii="Times New Roman" w:hAnsi="宋体"/>
          <w:b/>
          <w:bCs/>
          <w:szCs w:val="21"/>
        </w:rPr>
        <w:t>蒸汽过程指示剂</w:t>
      </w:r>
    </w:p>
    <w:p w14:paraId="5674C2B7">
      <w:pPr>
        <w:spacing w:line="360" w:lineRule="auto"/>
        <w:ind w:left="840" w:leftChars="400"/>
        <w:rPr>
          <w:rFonts w:ascii="Times New Roman" w:hAnsi="Times New Roman"/>
          <w:szCs w:val="21"/>
        </w:rPr>
      </w:pPr>
      <w:r>
        <w:rPr>
          <w:rFonts w:hint="eastAsia" w:ascii="Times New Roman" w:hAnsi="宋体"/>
          <w:szCs w:val="21"/>
        </w:rPr>
        <w:t>根据美国国家标准学会</w:t>
      </w:r>
      <w:r>
        <w:rPr>
          <w:rFonts w:ascii="Times New Roman" w:hAnsi="Times New Roman"/>
          <w:szCs w:val="21"/>
        </w:rPr>
        <w:t>/</w:t>
      </w:r>
      <w:r>
        <w:rPr>
          <w:rFonts w:hint="eastAsia" w:ascii="Times New Roman" w:hAnsi="宋体"/>
          <w:szCs w:val="21"/>
        </w:rPr>
        <w:t>美国医疗器械促进协会标准</w:t>
      </w:r>
      <w:r>
        <w:rPr>
          <w:rFonts w:ascii="Times New Roman" w:hAnsi="Times New Roman"/>
          <w:szCs w:val="21"/>
        </w:rPr>
        <w:t>60</w:t>
      </w:r>
      <w:r>
        <w:rPr>
          <w:rFonts w:hint="eastAsia" w:ascii="Times New Roman" w:hAnsi="宋体"/>
          <w:szCs w:val="21"/>
        </w:rPr>
        <w:t>的要求，你们应该证明当暴露到</w:t>
      </w:r>
      <w:r>
        <w:rPr>
          <w:rFonts w:ascii="Times New Roman" w:hAnsi="Times New Roman"/>
          <w:szCs w:val="21"/>
        </w:rPr>
        <w:t>140</w:t>
      </w:r>
      <w:r>
        <w:rPr>
          <w:rFonts w:hint="eastAsia" w:ascii="宋体" w:hAnsi="宋体" w:cs="宋体"/>
          <w:szCs w:val="21"/>
        </w:rPr>
        <w:t>℃</w:t>
      </w:r>
      <w:r>
        <w:rPr>
          <w:rFonts w:hint="eastAsia" w:ascii="Times New Roman" w:hAnsi="宋体"/>
          <w:szCs w:val="21"/>
        </w:rPr>
        <w:t>环境中干热</w:t>
      </w:r>
      <w:r>
        <w:rPr>
          <w:rFonts w:ascii="Times New Roman" w:hAnsi="Times New Roman"/>
          <w:szCs w:val="21"/>
        </w:rPr>
        <w:t>30</w:t>
      </w:r>
      <w:r>
        <w:rPr>
          <w:rFonts w:hint="eastAsia" w:ascii="Times New Roman" w:hAnsi="宋体"/>
          <w:szCs w:val="21"/>
        </w:rPr>
        <w:t>分钟的时候，化学指示剂不会达到其终点。</w:t>
      </w:r>
    </w:p>
    <w:p w14:paraId="0318694B">
      <w:pPr>
        <w:spacing w:before="240" w:line="360" w:lineRule="auto"/>
        <w:ind w:left="840" w:leftChars="400"/>
        <w:rPr>
          <w:rFonts w:ascii="Times New Roman" w:hAnsi="Times New Roman"/>
          <w:szCs w:val="21"/>
        </w:rPr>
      </w:pPr>
      <w:r>
        <w:rPr>
          <w:rFonts w:hint="eastAsia" w:ascii="Times New Roman" w:hAnsi="宋体"/>
          <w:b/>
          <w:bCs/>
          <w:szCs w:val="21"/>
        </w:rPr>
        <w:t>环氧乙烷过程指示剂</w:t>
      </w:r>
    </w:p>
    <w:p w14:paraId="3D094DFA">
      <w:pPr>
        <w:spacing w:line="360" w:lineRule="auto"/>
        <w:ind w:left="840" w:leftChars="400"/>
        <w:rPr>
          <w:rFonts w:ascii="Times New Roman" w:hAnsi="Times New Roman"/>
          <w:szCs w:val="21"/>
        </w:rPr>
      </w:pPr>
      <w:r>
        <w:rPr>
          <w:rFonts w:hint="eastAsia" w:ascii="Times New Roman" w:hAnsi="宋体"/>
          <w:szCs w:val="21"/>
        </w:rPr>
        <w:t>根据美国国家标准学会</w:t>
      </w:r>
      <w:r>
        <w:rPr>
          <w:rFonts w:ascii="Times New Roman" w:hAnsi="Times New Roman"/>
          <w:szCs w:val="21"/>
        </w:rPr>
        <w:t>/</w:t>
      </w:r>
      <w:r>
        <w:rPr>
          <w:rFonts w:hint="eastAsia" w:ascii="Times New Roman" w:hAnsi="宋体"/>
          <w:szCs w:val="21"/>
        </w:rPr>
        <w:t>美国医疗器械促进协会标准</w:t>
      </w:r>
      <w:r>
        <w:rPr>
          <w:rFonts w:ascii="Times New Roman" w:hAnsi="Times New Roman"/>
          <w:szCs w:val="21"/>
        </w:rPr>
        <w:t>60</w:t>
      </w:r>
      <w:r>
        <w:rPr>
          <w:rFonts w:hint="eastAsia" w:ascii="Times New Roman" w:hAnsi="宋体"/>
          <w:szCs w:val="21"/>
        </w:rPr>
        <w:t>的要求，你们应该对环氧乙烷过程指示剂进行评估，以显示当暴露到</w:t>
      </w:r>
      <w:r>
        <w:rPr>
          <w:rFonts w:ascii="Times New Roman" w:hAnsi="Times New Roman"/>
          <w:szCs w:val="21"/>
        </w:rPr>
        <w:t>60</w:t>
      </w:r>
      <w:r>
        <w:rPr>
          <w:rFonts w:hint="eastAsia" w:ascii="宋体" w:hAnsi="宋体" w:cs="宋体"/>
          <w:szCs w:val="21"/>
        </w:rPr>
        <w:t>℃</w:t>
      </w:r>
      <w:r>
        <w:rPr>
          <w:rFonts w:ascii="Times New Roman" w:hAnsi="Times New Roman"/>
          <w:szCs w:val="21"/>
        </w:rPr>
        <w:t>±2</w:t>
      </w:r>
      <w:r>
        <w:rPr>
          <w:rFonts w:hint="eastAsia" w:ascii="宋体" w:hAnsi="宋体" w:cs="宋体"/>
          <w:szCs w:val="21"/>
        </w:rPr>
        <w:t>℃</w:t>
      </w:r>
      <w:r>
        <w:rPr>
          <w:rFonts w:hint="eastAsia" w:ascii="Times New Roman" w:hAnsi="宋体"/>
          <w:szCs w:val="21"/>
        </w:rPr>
        <w:t>并且相对湿度大于</w:t>
      </w:r>
      <w:r>
        <w:rPr>
          <w:rFonts w:ascii="Times New Roman" w:hAnsi="Times New Roman"/>
          <w:szCs w:val="21"/>
        </w:rPr>
        <w:t>85%</w:t>
      </w:r>
      <w:r>
        <w:rPr>
          <w:rFonts w:hint="eastAsia" w:ascii="Times New Roman" w:hAnsi="宋体"/>
          <w:szCs w:val="21"/>
        </w:rPr>
        <w:t>的环境中不少于</w:t>
      </w:r>
      <w:r>
        <w:rPr>
          <w:rFonts w:ascii="Times New Roman" w:hAnsi="Times New Roman"/>
          <w:szCs w:val="21"/>
        </w:rPr>
        <w:t>90</w:t>
      </w:r>
      <w:r>
        <w:rPr>
          <w:rFonts w:hint="eastAsia" w:ascii="Times New Roman" w:hAnsi="宋体"/>
          <w:szCs w:val="21"/>
        </w:rPr>
        <w:t>分钟时，指示剂不会到达其终点。没有环氧乙烷，本测试无法完成。</w:t>
      </w:r>
    </w:p>
    <w:p w14:paraId="530332A4">
      <w:pPr>
        <w:spacing w:before="240" w:line="360" w:lineRule="auto"/>
        <w:rPr>
          <w:rFonts w:ascii="Times New Roman" w:hAnsi="Times New Roman"/>
          <w:szCs w:val="21"/>
        </w:rPr>
      </w:pPr>
      <w:r>
        <w:rPr>
          <w:rFonts w:hint="eastAsia" w:ascii="Times New Roman" w:hAnsi="宋体"/>
          <w:szCs w:val="21"/>
        </w:rPr>
        <w:t>下表提供了根据美国国家标准学会</w:t>
      </w:r>
      <w:r>
        <w:rPr>
          <w:rFonts w:ascii="Times New Roman" w:hAnsi="Times New Roman"/>
          <w:szCs w:val="21"/>
        </w:rPr>
        <w:t>/</w:t>
      </w:r>
      <w:r>
        <w:rPr>
          <w:rFonts w:hint="eastAsia" w:ascii="Times New Roman" w:hAnsi="宋体"/>
          <w:szCs w:val="21"/>
        </w:rPr>
        <w:t>美国医疗器械促进协会标准</w:t>
      </w:r>
      <w:r>
        <w:rPr>
          <w:rFonts w:ascii="Times New Roman" w:hAnsi="Times New Roman"/>
          <w:szCs w:val="21"/>
        </w:rPr>
        <w:t>60</w:t>
      </w:r>
      <w:r>
        <w:rPr>
          <w:rFonts w:hint="eastAsia" w:ascii="Times New Roman" w:hAnsi="宋体"/>
          <w:szCs w:val="21"/>
        </w:rPr>
        <w:t>的公认标准，这些灭菌方法所使用的过程指示剂应该符合的标准。</w:t>
      </w:r>
    </w:p>
    <w:p w14:paraId="3F04E7F0">
      <w:pPr>
        <w:spacing w:line="360" w:lineRule="auto"/>
        <w:rPr>
          <w:rFonts w:ascii="Times New Roman" w:hAnsi="Times New Roman"/>
          <w:szCs w:val="21"/>
        </w:rPr>
      </w:pPr>
      <w:bookmarkStart w:id="37" w:name="bookmark9"/>
      <w:bookmarkEnd w:id="37"/>
      <w:r>
        <w:rPr>
          <w:rFonts w:ascii="Times New Roman" w:hAnsi="Times New Roman"/>
          <w:szCs w:val="21"/>
        </w:rPr>
        <w:br w:type="page"/>
      </w:r>
      <w:r>
        <w:rPr>
          <w:rFonts w:hint="eastAsia" w:ascii="Times New Roman" w:hAnsi="宋体"/>
          <w:b/>
          <w:bCs/>
          <w:szCs w:val="21"/>
        </w:rPr>
        <w:t>表</w:t>
      </w:r>
      <w:r>
        <w:rPr>
          <w:rFonts w:ascii="Times New Roman" w:hAnsi="Times New Roman"/>
          <w:b/>
          <w:bCs/>
          <w:szCs w:val="21"/>
        </w:rPr>
        <w:t>3-</w:t>
      </w:r>
      <w:r>
        <w:rPr>
          <w:rFonts w:hint="eastAsia" w:ascii="Times New Roman" w:hAnsi="宋体"/>
          <w:b/>
          <w:bCs/>
          <w:szCs w:val="21"/>
        </w:rPr>
        <w:t>过程指示剂标准</w:t>
      </w:r>
    </w:p>
    <w:tbl>
      <w:tblPr>
        <w:tblStyle w:val="12"/>
        <w:tblW w:w="5000" w:type="pct"/>
        <w:tblInd w:w="0" w:type="dxa"/>
        <w:tblLayout w:type="autofit"/>
        <w:tblCellMar>
          <w:top w:w="0" w:type="dxa"/>
          <w:left w:w="0" w:type="dxa"/>
          <w:bottom w:w="0" w:type="dxa"/>
          <w:right w:w="0" w:type="dxa"/>
        </w:tblCellMar>
      </w:tblPr>
      <w:tblGrid>
        <w:gridCol w:w="1566"/>
        <w:gridCol w:w="2266"/>
        <w:gridCol w:w="2433"/>
        <w:gridCol w:w="2211"/>
      </w:tblGrid>
      <w:tr w14:paraId="3CFDEB73">
        <w:tblPrEx>
          <w:tblCellMar>
            <w:top w:w="0" w:type="dxa"/>
            <w:left w:w="0" w:type="dxa"/>
            <w:bottom w:w="0" w:type="dxa"/>
            <w:right w:w="0" w:type="dxa"/>
          </w:tblCellMar>
        </w:tblPrEx>
        <w:tc>
          <w:tcPr>
            <w:tcW w:w="924" w:type="pct"/>
            <w:tcBorders>
              <w:top w:val="single" w:color="000000" w:sz="4" w:space="0"/>
              <w:left w:val="single" w:color="000000" w:sz="4" w:space="0"/>
              <w:bottom w:val="single" w:color="000000" w:sz="4" w:space="0"/>
              <w:right w:val="single" w:color="000000" w:sz="4" w:space="0"/>
            </w:tcBorders>
            <w:shd w:val="clear" w:color="auto" w:fill="CCFFFF"/>
            <w:tcMar>
              <w:left w:w="85" w:type="dxa"/>
              <w:right w:w="85" w:type="dxa"/>
            </w:tcMar>
          </w:tcPr>
          <w:p w14:paraId="2138BA42">
            <w:pPr>
              <w:spacing w:line="360" w:lineRule="auto"/>
              <w:jc w:val="center"/>
              <w:rPr>
                <w:rFonts w:ascii="Times New Roman" w:hAnsi="Times New Roman"/>
                <w:szCs w:val="21"/>
              </w:rPr>
            </w:pPr>
            <w:bookmarkStart w:id="38" w:name="ENDPOINT_REACTION"/>
            <w:bookmarkEnd w:id="38"/>
            <w:r>
              <w:rPr>
                <w:rFonts w:hint="eastAsia" w:ascii="Times New Roman" w:hAnsi="宋体"/>
                <w:b/>
                <w:bCs/>
                <w:szCs w:val="21"/>
              </w:rPr>
              <w:t>方法</w:t>
            </w:r>
          </w:p>
        </w:tc>
        <w:tc>
          <w:tcPr>
            <w:tcW w:w="1337" w:type="pct"/>
            <w:tcBorders>
              <w:top w:val="single" w:color="000000" w:sz="4" w:space="0"/>
              <w:left w:val="single" w:color="000000" w:sz="4" w:space="0"/>
              <w:bottom w:val="single" w:color="000000" w:sz="4" w:space="0"/>
              <w:right w:val="single" w:color="000000" w:sz="4" w:space="0"/>
            </w:tcBorders>
            <w:shd w:val="clear" w:color="auto" w:fill="CCFFFF"/>
            <w:tcMar>
              <w:left w:w="85" w:type="dxa"/>
              <w:right w:w="85" w:type="dxa"/>
            </w:tcMar>
          </w:tcPr>
          <w:p w14:paraId="2DC87B8B">
            <w:pPr>
              <w:spacing w:line="360" w:lineRule="auto"/>
              <w:jc w:val="center"/>
              <w:rPr>
                <w:rFonts w:ascii="Times New Roman" w:hAnsi="Times New Roman"/>
                <w:szCs w:val="21"/>
              </w:rPr>
            </w:pPr>
            <w:r>
              <w:rPr>
                <w:rFonts w:hint="eastAsia" w:ascii="Times New Roman" w:hAnsi="宋体"/>
                <w:b/>
                <w:bCs/>
                <w:szCs w:val="21"/>
              </w:rPr>
              <w:t>温度</w:t>
            </w:r>
          </w:p>
        </w:tc>
        <w:tc>
          <w:tcPr>
            <w:tcW w:w="1435" w:type="pct"/>
            <w:tcBorders>
              <w:top w:val="single" w:color="000000" w:sz="4" w:space="0"/>
              <w:left w:val="single" w:color="000000" w:sz="4" w:space="0"/>
              <w:bottom w:val="single" w:color="000000" w:sz="4" w:space="0"/>
              <w:right w:val="single" w:color="000000" w:sz="4" w:space="0"/>
            </w:tcBorders>
            <w:shd w:val="clear" w:color="auto" w:fill="CCFFFF"/>
            <w:tcMar>
              <w:left w:w="85" w:type="dxa"/>
              <w:right w:w="85" w:type="dxa"/>
            </w:tcMar>
          </w:tcPr>
          <w:p w14:paraId="33E91E8C">
            <w:pPr>
              <w:spacing w:line="360" w:lineRule="auto"/>
              <w:jc w:val="center"/>
              <w:rPr>
                <w:rFonts w:ascii="Times New Roman" w:hAnsi="Times New Roman"/>
                <w:szCs w:val="21"/>
              </w:rPr>
            </w:pPr>
            <w:r>
              <w:rPr>
                <w:rFonts w:hint="eastAsia" w:ascii="Times New Roman" w:hAnsi="宋体"/>
                <w:b/>
                <w:bCs/>
                <w:szCs w:val="21"/>
              </w:rPr>
              <w:t>气体浓度</w:t>
            </w:r>
          </w:p>
        </w:tc>
        <w:tc>
          <w:tcPr>
            <w:tcW w:w="1304" w:type="pct"/>
            <w:tcBorders>
              <w:top w:val="single" w:color="000000" w:sz="4" w:space="0"/>
              <w:left w:val="single" w:color="000000" w:sz="4" w:space="0"/>
              <w:bottom w:val="single" w:color="000000" w:sz="4" w:space="0"/>
              <w:right w:val="single" w:color="000000" w:sz="4" w:space="0"/>
            </w:tcBorders>
            <w:shd w:val="clear" w:color="auto" w:fill="CCFFFF"/>
            <w:tcMar>
              <w:left w:w="85" w:type="dxa"/>
              <w:right w:w="85" w:type="dxa"/>
            </w:tcMar>
          </w:tcPr>
          <w:p w14:paraId="0368BFA1">
            <w:pPr>
              <w:spacing w:line="360" w:lineRule="auto"/>
              <w:jc w:val="center"/>
              <w:rPr>
                <w:rFonts w:ascii="Times New Roman" w:hAnsi="Times New Roman"/>
                <w:szCs w:val="21"/>
              </w:rPr>
            </w:pPr>
            <w:r>
              <w:rPr>
                <w:rFonts w:hint="eastAsia" w:ascii="Times New Roman" w:hAnsi="宋体"/>
                <w:b/>
                <w:bCs/>
                <w:szCs w:val="21"/>
              </w:rPr>
              <w:t>终点反应</w:t>
            </w:r>
          </w:p>
        </w:tc>
      </w:tr>
      <w:tr w14:paraId="1D175FC8">
        <w:tblPrEx>
          <w:tblCellMar>
            <w:top w:w="0" w:type="dxa"/>
            <w:left w:w="0" w:type="dxa"/>
            <w:bottom w:w="0" w:type="dxa"/>
            <w:right w:w="0" w:type="dxa"/>
          </w:tblCellMar>
        </w:tblPrEx>
        <w:tc>
          <w:tcPr>
            <w:tcW w:w="924" w:type="pct"/>
            <w:tcBorders>
              <w:top w:val="single" w:color="000000" w:sz="4" w:space="0"/>
              <w:left w:val="single" w:color="000000" w:sz="4" w:space="0"/>
              <w:bottom w:val="single" w:color="000000" w:sz="4" w:space="0"/>
              <w:right w:val="single" w:color="000000" w:sz="4" w:space="0"/>
            </w:tcBorders>
            <w:tcMar>
              <w:left w:w="85" w:type="dxa"/>
              <w:right w:w="85" w:type="dxa"/>
            </w:tcMar>
          </w:tcPr>
          <w:p w14:paraId="010AA46A">
            <w:pPr>
              <w:spacing w:line="360" w:lineRule="auto"/>
              <w:jc w:val="center"/>
              <w:rPr>
                <w:rFonts w:ascii="Times New Roman" w:hAnsi="Times New Roman"/>
                <w:szCs w:val="21"/>
              </w:rPr>
            </w:pPr>
            <w:r>
              <w:rPr>
                <w:rFonts w:hint="eastAsia" w:ascii="Times New Roman" w:hAnsi="宋体"/>
                <w:szCs w:val="21"/>
              </w:rPr>
              <w:t>蒸汽</w:t>
            </w:r>
          </w:p>
        </w:tc>
        <w:tc>
          <w:tcPr>
            <w:tcW w:w="1337" w:type="pct"/>
            <w:tcBorders>
              <w:top w:val="single" w:color="000000" w:sz="4" w:space="0"/>
              <w:left w:val="single" w:color="000000" w:sz="4" w:space="0"/>
              <w:bottom w:val="single" w:color="000000" w:sz="4" w:space="0"/>
              <w:right w:val="single" w:color="000000" w:sz="4" w:space="0"/>
            </w:tcBorders>
            <w:tcMar>
              <w:left w:w="85" w:type="dxa"/>
              <w:right w:w="85" w:type="dxa"/>
            </w:tcMar>
          </w:tcPr>
          <w:p w14:paraId="2EDC3D10">
            <w:pPr>
              <w:pStyle w:val="24"/>
              <w:tabs>
                <w:tab w:val="left" w:pos="426"/>
              </w:tabs>
              <w:kinsoku w:val="0"/>
              <w:overflowPunct w:val="0"/>
              <w:adjustRightInd/>
              <w:spacing w:line="360" w:lineRule="auto"/>
              <w:jc w:val="center"/>
              <w:rPr>
                <w:sz w:val="21"/>
                <w:szCs w:val="21"/>
              </w:rPr>
            </w:pPr>
            <w:r>
              <w:rPr>
                <w:sz w:val="21"/>
                <w:szCs w:val="21"/>
              </w:rPr>
              <w:t>121</w:t>
            </w:r>
            <w:r>
              <w:rPr>
                <w:rFonts w:hint="eastAsia" w:ascii="宋体" w:hAnsi="宋体" w:cs="宋体"/>
                <w:sz w:val="21"/>
                <w:szCs w:val="21"/>
              </w:rPr>
              <w:t>℃</w:t>
            </w:r>
          </w:p>
        </w:tc>
        <w:tc>
          <w:tcPr>
            <w:tcW w:w="143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7F94E4B9">
            <w:pPr>
              <w:pStyle w:val="24"/>
              <w:tabs>
                <w:tab w:val="left" w:pos="426"/>
              </w:tabs>
              <w:kinsoku w:val="0"/>
              <w:overflowPunct w:val="0"/>
              <w:adjustRightInd/>
              <w:spacing w:line="360" w:lineRule="auto"/>
              <w:jc w:val="center"/>
              <w:rPr>
                <w:sz w:val="21"/>
                <w:szCs w:val="21"/>
              </w:rPr>
            </w:pPr>
            <w:r>
              <w:rPr>
                <w:sz w:val="21"/>
                <w:szCs w:val="21"/>
              </w:rPr>
              <w:t>N/A</w:t>
            </w:r>
          </w:p>
        </w:tc>
        <w:tc>
          <w:tcPr>
            <w:tcW w:w="1304" w:type="pct"/>
            <w:tcBorders>
              <w:top w:val="single" w:color="000000" w:sz="4" w:space="0"/>
              <w:left w:val="single" w:color="000000" w:sz="4" w:space="0"/>
              <w:bottom w:val="single" w:color="000000" w:sz="4" w:space="0"/>
              <w:right w:val="single" w:color="000000" w:sz="4" w:space="0"/>
            </w:tcBorders>
            <w:tcMar>
              <w:left w:w="85" w:type="dxa"/>
              <w:right w:w="85" w:type="dxa"/>
            </w:tcMar>
          </w:tcPr>
          <w:p w14:paraId="6E2F9F90">
            <w:pPr>
              <w:pStyle w:val="24"/>
              <w:tabs>
                <w:tab w:val="left" w:pos="426"/>
              </w:tabs>
              <w:kinsoku w:val="0"/>
              <w:overflowPunct w:val="0"/>
              <w:adjustRightInd/>
              <w:spacing w:line="360" w:lineRule="auto"/>
              <w:jc w:val="center"/>
              <w:rPr>
                <w:sz w:val="21"/>
                <w:szCs w:val="21"/>
              </w:rPr>
            </w:pPr>
            <w:r>
              <w:rPr>
                <w:sz w:val="21"/>
                <w:szCs w:val="21"/>
              </w:rPr>
              <w:t>2 min - 10 min</w:t>
            </w:r>
          </w:p>
        </w:tc>
      </w:tr>
      <w:tr w14:paraId="491BDBB9">
        <w:tblPrEx>
          <w:tblCellMar>
            <w:top w:w="0" w:type="dxa"/>
            <w:left w:w="0" w:type="dxa"/>
            <w:bottom w:w="0" w:type="dxa"/>
            <w:right w:w="0" w:type="dxa"/>
          </w:tblCellMar>
        </w:tblPrEx>
        <w:tc>
          <w:tcPr>
            <w:tcW w:w="924" w:type="pct"/>
            <w:tcBorders>
              <w:top w:val="single" w:color="000000" w:sz="4" w:space="0"/>
              <w:left w:val="single" w:color="000000" w:sz="4" w:space="0"/>
              <w:bottom w:val="single" w:color="000000" w:sz="4" w:space="0"/>
              <w:right w:val="single" w:color="000000" w:sz="4" w:space="0"/>
            </w:tcBorders>
            <w:tcMar>
              <w:left w:w="85" w:type="dxa"/>
              <w:right w:w="85" w:type="dxa"/>
            </w:tcMar>
          </w:tcPr>
          <w:p w14:paraId="007A8B5E">
            <w:pPr>
              <w:spacing w:line="360" w:lineRule="auto"/>
              <w:jc w:val="center"/>
              <w:rPr>
                <w:rFonts w:ascii="Times New Roman" w:hAnsi="Times New Roman"/>
                <w:szCs w:val="21"/>
              </w:rPr>
            </w:pPr>
            <w:r>
              <w:rPr>
                <w:rFonts w:hint="eastAsia" w:ascii="Times New Roman" w:hAnsi="宋体"/>
                <w:szCs w:val="21"/>
              </w:rPr>
              <w:t>蒸汽</w:t>
            </w:r>
          </w:p>
        </w:tc>
        <w:tc>
          <w:tcPr>
            <w:tcW w:w="1337" w:type="pct"/>
            <w:tcBorders>
              <w:top w:val="single" w:color="000000" w:sz="4" w:space="0"/>
              <w:left w:val="single" w:color="000000" w:sz="4" w:space="0"/>
              <w:bottom w:val="single" w:color="000000" w:sz="4" w:space="0"/>
              <w:right w:val="single" w:color="000000" w:sz="4" w:space="0"/>
            </w:tcBorders>
            <w:tcMar>
              <w:left w:w="85" w:type="dxa"/>
              <w:right w:w="85" w:type="dxa"/>
            </w:tcMar>
          </w:tcPr>
          <w:p w14:paraId="7048C5EC">
            <w:pPr>
              <w:pStyle w:val="24"/>
              <w:tabs>
                <w:tab w:val="left" w:pos="426"/>
              </w:tabs>
              <w:kinsoku w:val="0"/>
              <w:overflowPunct w:val="0"/>
              <w:adjustRightInd/>
              <w:spacing w:line="360" w:lineRule="auto"/>
              <w:jc w:val="center"/>
              <w:rPr>
                <w:sz w:val="21"/>
                <w:szCs w:val="21"/>
              </w:rPr>
            </w:pPr>
            <w:r>
              <w:rPr>
                <w:sz w:val="21"/>
                <w:szCs w:val="21"/>
              </w:rPr>
              <w:t>132</w:t>
            </w:r>
            <w:r>
              <w:rPr>
                <w:rFonts w:hint="eastAsia" w:ascii="宋体" w:hAnsi="宋体" w:cs="宋体"/>
                <w:sz w:val="21"/>
                <w:szCs w:val="21"/>
              </w:rPr>
              <w:t>℃</w:t>
            </w:r>
            <w:r>
              <w:rPr>
                <w:sz w:val="21"/>
                <w:szCs w:val="21"/>
              </w:rPr>
              <w:t xml:space="preserve"> – 135</w:t>
            </w:r>
            <w:r>
              <w:rPr>
                <w:rFonts w:hint="eastAsia" w:ascii="宋体" w:hAnsi="宋体" w:cs="宋体"/>
                <w:sz w:val="21"/>
                <w:szCs w:val="21"/>
              </w:rPr>
              <w:t>℃</w:t>
            </w:r>
            <w:r>
              <w:rPr>
                <w:sz w:val="21"/>
                <w:szCs w:val="21"/>
              </w:rPr>
              <w:t>±3</w:t>
            </w:r>
            <w:r>
              <w:rPr>
                <w:rFonts w:hint="eastAsia" w:ascii="宋体" w:hAnsi="宋体" w:cs="宋体"/>
                <w:sz w:val="21"/>
                <w:szCs w:val="21"/>
              </w:rPr>
              <w:t>℃</w:t>
            </w:r>
          </w:p>
        </w:tc>
        <w:tc>
          <w:tcPr>
            <w:tcW w:w="143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5CE2F156">
            <w:pPr>
              <w:pStyle w:val="24"/>
              <w:tabs>
                <w:tab w:val="left" w:pos="426"/>
              </w:tabs>
              <w:kinsoku w:val="0"/>
              <w:overflowPunct w:val="0"/>
              <w:adjustRightInd/>
              <w:spacing w:line="360" w:lineRule="auto"/>
              <w:jc w:val="center"/>
              <w:rPr>
                <w:sz w:val="21"/>
                <w:szCs w:val="21"/>
              </w:rPr>
            </w:pPr>
            <w:r>
              <w:rPr>
                <w:sz w:val="21"/>
                <w:szCs w:val="21"/>
              </w:rPr>
              <w:t>N/A</w:t>
            </w:r>
          </w:p>
        </w:tc>
        <w:tc>
          <w:tcPr>
            <w:tcW w:w="1304" w:type="pct"/>
            <w:tcBorders>
              <w:top w:val="single" w:color="000000" w:sz="4" w:space="0"/>
              <w:left w:val="single" w:color="000000" w:sz="4" w:space="0"/>
              <w:bottom w:val="single" w:color="000000" w:sz="4" w:space="0"/>
              <w:right w:val="single" w:color="000000" w:sz="4" w:space="0"/>
            </w:tcBorders>
            <w:tcMar>
              <w:left w:w="85" w:type="dxa"/>
              <w:right w:w="85" w:type="dxa"/>
            </w:tcMar>
          </w:tcPr>
          <w:p w14:paraId="654908CF">
            <w:pPr>
              <w:pStyle w:val="24"/>
              <w:tabs>
                <w:tab w:val="left" w:pos="426"/>
              </w:tabs>
              <w:kinsoku w:val="0"/>
              <w:overflowPunct w:val="0"/>
              <w:adjustRightInd/>
              <w:spacing w:line="360" w:lineRule="auto"/>
              <w:jc w:val="center"/>
              <w:rPr>
                <w:sz w:val="21"/>
                <w:szCs w:val="21"/>
              </w:rPr>
            </w:pPr>
            <w:r>
              <w:rPr>
                <w:sz w:val="21"/>
                <w:szCs w:val="21"/>
              </w:rPr>
              <w:t>20 sec - 2 min</w:t>
            </w:r>
          </w:p>
        </w:tc>
      </w:tr>
      <w:tr w14:paraId="57BD2D93">
        <w:tblPrEx>
          <w:tblCellMar>
            <w:top w:w="0" w:type="dxa"/>
            <w:left w:w="0" w:type="dxa"/>
            <w:bottom w:w="0" w:type="dxa"/>
            <w:right w:w="0" w:type="dxa"/>
          </w:tblCellMar>
        </w:tblPrEx>
        <w:tc>
          <w:tcPr>
            <w:tcW w:w="924" w:type="pct"/>
            <w:tcBorders>
              <w:top w:val="single" w:color="000000" w:sz="4" w:space="0"/>
              <w:left w:val="single" w:color="000000" w:sz="4" w:space="0"/>
              <w:bottom w:val="single" w:color="000000" w:sz="4" w:space="0"/>
              <w:right w:val="single" w:color="000000" w:sz="4" w:space="0"/>
            </w:tcBorders>
            <w:tcMar>
              <w:left w:w="85" w:type="dxa"/>
              <w:right w:w="85" w:type="dxa"/>
            </w:tcMar>
          </w:tcPr>
          <w:p w14:paraId="245EEECA">
            <w:pPr>
              <w:spacing w:line="360" w:lineRule="auto"/>
              <w:jc w:val="center"/>
              <w:rPr>
                <w:rFonts w:ascii="Times New Roman" w:hAnsi="Times New Roman"/>
                <w:szCs w:val="21"/>
              </w:rPr>
            </w:pPr>
            <w:r>
              <w:rPr>
                <w:rFonts w:hint="eastAsia" w:ascii="Times New Roman" w:hAnsi="宋体"/>
                <w:szCs w:val="21"/>
              </w:rPr>
              <w:t>环氧乙烷</w:t>
            </w:r>
          </w:p>
        </w:tc>
        <w:tc>
          <w:tcPr>
            <w:tcW w:w="1337" w:type="pct"/>
            <w:tcBorders>
              <w:top w:val="single" w:color="000000" w:sz="4" w:space="0"/>
              <w:left w:val="single" w:color="000000" w:sz="4" w:space="0"/>
              <w:bottom w:val="single" w:color="000000" w:sz="4" w:space="0"/>
              <w:right w:val="single" w:color="000000" w:sz="4" w:space="0"/>
            </w:tcBorders>
            <w:tcMar>
              <w:left w:w="85" w:type="dxa"/>
              <w:right w:w="85" w:type="dxa"/>
            </w:tcMar>
          </w:tcPr>
          <w:p w14:paraId="63A55ECA">
            <w:pPr>
              <w:pStyle w:val="24"/>
              <w:tabs>
                <w:tab w:val="left" w:pos="426"/>
              </w:tabs>
              <w:kinsoku w:val="0"/>
              <w:overflowPunct w:val="0"/>
              <w:adjustRightInd/>
              <w:spacing w:line="360" w:lineRule="auto"/>
              <w:jc w:val="center"/>
              <w:rPr>
                <w:sz w:val="21"/>
                <w:szCs w:val="21"/>
              </w:rPr>
            </w:pPr>
            <w:r>
              <w:rPr>
                <w:sz w:val="21"/>
                <w:szCs w:val="21"/>
              </w:rPr>
              <w:t>30</w:t>
            </w:r>
            <w:r>
              <w:rPr>
                <w:rFonts w:hint="eastAsia" w:ascii="宋体" w:hAnsi="宋体" w:cs="宋体"/>
                <w:sz w:val="21"/>
                <w:szCs w:val="21"/>
              </w:rPr>
              <w:t>℃</w:t>
            </w:r>
            <w:r>
              <w:rPr>
                <w:sz w:val="21"/>
                <w:szCs w:val="21"/>
              </w:rPr>
              <w:t xml:space="preserve"> ±1</w:t>
            </w:r>
            <w:r>
              <w:rPr>
                <w:rFonts w:hint="eastAsia" w:ascii="宋体" w:hAnsi="宋体" w:cs="宋体"/>
                <w:sz w:val="21"/>
                <w:szCs w:val="21"/>
              </w:rPr>
              <w:t>℃</w:t>
            </w:r>
          </w:p>
        </w:tc>
        <w:tc>
          <w:tcPr>
            <w:tcW w:w="143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2BB54D8D">
            <w:pPr>
              <w:pStyle w:val="24"/>
              <w:tabs>
                <w:tab w:val="left" w:pos="426"/>
              </w:tabs>
              <w:kinsoku w:val="0"/>
              <w:overflowPunct w:val="0"/>
              <w:adjustRightInd/>
              <w:spacing w:line="360" w:lineRule="auto"/>
              <w:jc w:val="center"/>
              <w:rPr>
                <w:sz w:val="21"/>
                <w:szCs w:val="21"/>
              </w:rPr>
            </w:pPr>
            <w:r>
              <w:rPr>
                <w:sz w:val="21"/>
                <w:szCs w:val="21"/>
              </w:rPr>
              <w:t>600±30 mg/l</w:t>
            </w:r>
          </w:p>
        </w:tc>
        <w:tc>
          <w:tcPr>
            <w:tcW w:w="1304" w:type="pct"/>
            <w:tcBorders>
              <w:top w:val="single" w:color="000000" w:sz="4" w:space="0"/>
              <w:left w:val="single" w:color="000000" w:sz="4" w:space="0"/>
              <w:bottom w:val="single" w:color="000000" w:sz="4" w:space="0"/>
              <w:right w:val="single" w:color="000000" w:sz="4" w:space="0"/>
            </w:tcBorders>
            <w:tcMar>
              <w:left w:w="85" w:type="dxa"/>
              <w:right w:w="85" w:type="dxa"/>
            </w:tcMar>
          </w:tcPr>
          <w:p w14:paraId="132F79BF">
            <w:pPr>
              <w:pStyle w:val="24"/>
              <w:tabs>
                <w:tab w:val="left" w:pos="426"/>
              </w:tabs>
              <w:kinsoku w:val="0"/>
              <w:overflowPunct w:val="0"/>
              <w:adjustRightInd/>
              <w:spacing w:line="360" w:lineRule="auto"/>
              <w:jc w:val="center"/>
              <w:rPr>
                <w:sz w:val="21"/>
                <w:szCs w:val="21"/>
              </w:rPr>
            </w:pPr>
            <w:r>
              <w:rPr>
                <w:sz w:val="21"/>
                <w:szCs w:val="21"/>
              </w:rPr>
              <w:t>5 min - 10 min</w:t>
            </w:r>
          </w:p>
        </w:tc>
      </w:tr>
      <w:tr w14:paraId="65E35F23">
        <w:tblPrEx>
          <w:tblCellMar>
            <w:top w:w="0" w:type="dxa"/>
            <w:left w:w="0" w:type="dxa"/>
            <w:bottom w:w="0" w:type="dxa"/>
            <w:right w:w="0" w:type="dxa"/>
          </w:tblCellMar>
        </w:tblPrEx>
        <w:tc>
          <w:tcPr>
            <w:tcW w:w="924" w:type="pct"/>
            <w:tcBorders>
              <w:top w:val="single" w:color="000000" w:sz="4" w:space="0"/>
              <w:left w:val="single" w:color="000000" w:sz="4" w:space="0"/>
              <w:bottom w:val="single" w:color="000000" w:sz="4" w:space="0"/>
              <w:right w:val="single" w:color="000000" w:sz="4" w:space="0"/>
            </w:tcBorders>
            <w:tcMar>
              <w:left w:w="85" w:type="dxa"/>
              <w:right w:w="85" w:type="dxa"/>
            </w:tcMar>
          </w:tcPr>
          <w:p w14:paraId="7E34ED48">
            <w:pPr>
              <w:spacing w:line="360" w:lineRule="auto"/>
              <w:jc w:val="center"/>
              <w:rPr>
                <w:rFonts w:ascii="Times New Roman" w:hAnsi="Times New Roman"/>
                <w:szCs w:val="21"/>
              </w:rPr>
            </w:pPr>
            <w:r>
              <w:rPr>
                <w:rFonts w:hint="eastAsia" w:ascii="Times New Roman" w:hAnsi="宋体"/>
                <w:szCs w:val="21"/>
              </w:rPr>
              <w:t>干热灭菌法</w:t>
            </w:r>
          </w:p>
        </w:tc>
        <w:tc>
          <w:tcPr>
            <w:tcW w:w="1337" w:type="pct"/>
            <w:tcBorders>
              <w:top w:val="single" w:color="000000" w:sz="4" w:space="0"/>
              <w:left w:val="single" w:color="000000" w:sz="4" w:space="0"/>
              <w:bottom w:val="single" w:color="000000" w:sz="4" w:space="0"/>
              <w:right w:val="single" w:color="000000" w:sz="4" w:space="0"/>
            </w:tcBorders>
            <w:tcMar>
              <w:left w:w="85" w:type="dxa"/>
              <w:right w:w="85" w:type="dxa"/>
            </w:tcMar>
          </w:tcPr>
          <w:p w14:paraId="0F627C53">
            <w:pPr>
              <w:pStyle w:val="24"/>
              <w:tabs>
                <w:tab w:val="left" w:pos="426"/>
              </w:tabs>
              <w:kinsoku w:val="0"/>
              <w:overflowPunct w:val="0"/>
              <w:adjustRightInd/>
              <w:spacing w:line="360" w:lineRule="auto"/>
              <w:jc w:val="center"/>
              <w:rPr>
                <w:sz w:val="21"/>
                <w:szCs w:val="21"/>
              </w:rPr>
            </w:pPr>
            <w:r>
              <w:rPr>
                <w:sz w:val="21"/>
                <w:szCs w:val="21"/>
              </w:rPr>
              <w:t>160</w:t>
            </w:r>
            <w:r>
              <w:rPr>
                <w:rFonts w:hint="eastAsia" w:ascii="宋体" w:hAnsi="宋体" w:cs="宋体"/>
                <w:sz w:val="21"/>
                <w:szCs w:val="21"/>
              </w:rPr>
              <w:t>℃</w:t>
            </w:r>
            <w:r>
              <w:rPr>
                <w:sz w:val="21"/>
                <w:szCs w:val="21"/>
              </w:rPr>
              <w:t xml:space="preserve"> ±5</w:t>
            </w:r>
            <w:r>
              <w:rPr>
                <w:rFonts w:hint="eastAsia" w:ascii="宋体" w:hAnsi="宋体" w:cs="宋体"/>
                <w:sz w:val="21"/>
                <w:szCs w:val="21"/>
              </w:rPr>
              <w:t>℃</w:t>
            </w:r>
          </w:p>
        </w:tc>
        <w:tc>
          <w:tcPr>
            <w:tcW w:w="143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2BE67636">
            <w:pPr>
              <w:pStyle w:val="24"/>
              <w:tabs>
                <w:tab w:val="left" w:pos="426"/>
              </w:tabs>
              <w:kinsoku w:val="0"/>
              <w:overflowPunct w:val="0"/>
              <w:adjustRightInd/>
              <w:spacing w:line="360" w:lineRule="auto"/>
              <w:jc w:val="center"/>
              <w:rPr>
                <w:sz w:val="21"/>
                <w:szCs w:val="21"/>
              </w:rPr>
            </w:pPr>
            <w:r>
              <w:rPr>
                <w:sz w:val="21"/>
                <w:szCs w:val="21"/>
              </w:rPr>
              <w:t>N/A</w:t>
            </w:r>
          </w:p>
        </w:tc>
        <w:tc>
          <w:tcPr>
            <w:tcW w:w="1304" w:type="pct"/>
            <w:tcBorders>
              <w:top w:val="single" w:color="000000" w:sz="4" w:space="0"/>
              <w:left w:val="single" w:color="000000" w:sz="4" w:space="0"/>
              <w:bottom w:val="single" w:color="000000" w:sz="4" w:space="0"/>
              <w:right w:val="single" w:color="000000" w:sz="4" w:space="0"/>
            </w:tcBorders>
            <w:tcMar>
              <w:left w:w="85" w:type="dxa"/>
              <w:right w:w="85" w:type="dxa"/>
            </w:tcMar>
          </w:tcPr>
          <w:p w14:paraId="2FC62C55">
            <w:pPr>
              <w:pStyle w:val="24"/>
              <w:tabs>
                <w:tab w:val="left" w:pos="426"/>
              </w:tabs>
              <w:kinsoku w:val="0"/>
              <w:overflowPunct w:val="0"/>
              <w:adjustRightInd/>
              <w:spacing w:line="360" w:lineRule="auto"/>
              <w:jc w:val="center"/>
              <w:rPr>
                <w:sz w:val="21"/>
                <w:szCs w:val="21"/>
              </w:rPr>
            </w:pPr>
            <w:r>
              <w:rPr>
                <w:sz w:val="21"/>
                <w:szCs w:val="21"/>
              </w:rPr>
              <w:t>20 min - 40 min</w:t>
            </w:r>
          </w:p>
        </w:tc>
      </w:tr>
    </w:tbl>
    <w:p w14:paraId="1B27474B">
      <w:pPr>
        <w:spacing w:before="240" w:line="360" w:lineRule="auto"/>
        <w:ind w:left="420" w:leftChars="200"/>
        <w:outlineLvl w:val="1"/>
        <w:rPr>
          <w:rFonts w:ascii="Times New Roman" w:hAnsi="Times New Roman"/>
          <w:szCs w:val="21"/>
        </w:rPr>
      </w:pPr>
      <w:bookmarkStart w:id="39" w:name="B_Chemical_Integrators"/>
      <w:bookmarkEnd w:id="39"/>
      <w:bookmarkStart w:id="40" w:name="_Toc499728076"/>
      <w:r>
        <w:rPr>
          <w:rFonts w:ascii="Times New Roman" w:hAnsi="Times New Roman"/>
          <w:b/>
          <w:bCs/>
          <w:iCs/>
          <w:szCs w:val="21"/>
        </w:rPr>
        <w:t>B.</w:t>
      </w:r>
      <w:r>
        <w:rPr>
          <w:rFonts w:hint="eastAsia" w:ascii="Times New Roman" w:hAnsi="宋体"/>
          <w:b/>
          <w:bCs/>
          <w:i/>
          <w:iCs/>
          <w:szCs w:val="21"/>
        </w:rPr>
        <w:t>化学积分器</w:t>
      </w:r>
      <w:bookmarkEnd w:id="40"/>
    </w:p>
    <w:p w14:paraId="066A4D32">
      <w:pPr>
        <w:spacing w:line="360" w:lineRule="auto"/>
        <w:ind w:left="420" w:leftChars="200"/>
        <w:rPr>
          <w:rFonts w:ascii="Times New Roman" w:hAnsi="Times New Roman"/>
          <w:szCs w:val="21"/>
        </w:rPr>
      </w:pPr>
      <w:r>
        <w:rPr>
          <w:rFonts w:hint="eastAsia" w:ascii="Times New Roman" w:hAnsi="宋体"/>
          <w:szCs w:val="21"/>
        </w:rPr>
        <w:t>除了表</w:t>
      </w:r>
      <w:r>
        <w:rPr>
          <w:rFonts w:ascii="Times New Roman" w:hAnsi="Times New Roman"/>
          <w:szCs w:val="21"/>
        </w:rPr>
        <w:t>3</w:t>
      </w:r>
      <w:r>
        <w:rPr>
          <w:rFonts w:hint="eastAsia" w:ascii="Times New Roman" w:hAnsi="宋体"/>
          <w:szCs w:val="21"/>
        </w:rPr>
        <w:t>中所示的性能标准之外，</w:t>
      </w:r>
      <w:r>
        <w:rPr>
          <w:rFonts w:ascii="Times New Roman" w:hAnsi="Times New Roman"/>
          <w:b/>
          <w:szCs w:val="21"/>
        </w:rPr>
        <w:t>VII.</w:t>
      </w:r>
      <w:r>
        <w:rPr>
          <w:rFonts w:hint="eastAsia" w:ascii="Times New Roman" w:hAnsi="宋体"/>
          <w:b/>
          <w:szCs w:val="21"/>
        </w:rPr>
        <w:t>：性能特点</w:t>
      </w:r>
      <w:r>
        <w:rPr>
          <w:rFonts w:hint="eastAsia" w:ascii="Times New Roman" w:hAnsi="宋体"/>
          <w:szCs w:val="21"/>
        </w:rPr>
        <w:t>以及</w:t>
      </w:r>
      <w:r>
        <w:rPr>
          <w:rFonts w:ascii="Times New Roman" w:hAnsi="Times New Roman"/>
          <w:b/>
          <w:bCs/>
          <w:szCs w:val="21"/>
        </w:rPr>
        <w:t>VII.</w:t>
      </w:r>
      <w:r>
        <w:rPr>
          <w:rFonts w:ascii="Times New Roman" w:hAnsi="Times New Roman"/>
          <w:b/>
          <w:szCs w:val="21"/>
        </w:rPr>
        <w:t>A.</w:t>
      </w:r>
      <w:r>
        <w:rPr>
          <w:rFonts w:hint="eastAsia" w:ascii="Times New Roman" w:hAnsi="宋体"/>
          <w:b/>
          <w:szCs w:val="21"/>
        </w:rPr>
        <w:t>过程指示剂</w:t>
      </w:r>
      <w:r>
        <w:rPr>
          <w:rFonts w:hint="eastAsia" w:ascii="Times New Roman" w:hAnsi="宋体"/>
          <w:szCs w:val="21"/>
        </w:rPr>
        <w:t>也适用于化学积分器。在所有已出版的公认标准中，都不存在为化学积分器所建立的认定性能标准。你们应该为每一个确定的临界参数的终点反应提供说明，并提供下列合格</w:t>
      </w:r>
      <w:r>
        <w:rPr>
          <w:rFonts w:ascii="Times New Roman" w:hAnsi="Times New Roman"/>
          <w:szCs w:val="21"/>
        </w:rPr>
        <w:t>/</w:t>
      </w:r>
      <w:r>
        <w:rPr>
          <w:rFonts w:hint="eastAsia" w:ascii="Times New Roman" w:hAnsi="宋体"/>
          <w:szCs w:val="21"/>
        </w:rPr>
        <w:t>不合格结果来支持该说明。</w:t>
      </w:r>
    </w:p>
    <w:p w14:paraId="1ECAC8E9">
      <w:pPr>
        <w:spacing w:before="240" w:line="360" w:lineRule="auto"/>
        <w:ind w:left="840" w:leftChars="400"/>
        <w:rPr>
          <w:rFonts w:ascii="Times New Roman" w:hAnsi="Times New Roman"/>
          <w:szCs w:val="21"/>
        </w:rPr>
      </w:pPr>
      <w:r>
        <w:rPr>
          <w:rFonts w:hint="eastAsia" w:ascii="Times New Roman" w:hAnsi="宋体"/>
          <w:b/>
          <w:bCs/>
          <w:szCs w:val="21"/>
        </w:rPr>
        <w:t>临界参数</w:t>
      </w:r>
    </w:p>
    <w:p w14:paraId="3CDE1226">
      <w:pPr>
        <w:spacing w:line="360" w:lineRule="auto"/>
        <w:ind w:left="840" w:leftChars="400"/>
        <w:rPr>
          <w:rFonts w:ascii="Times New Roman" w:hAnsi="Times New Roman"/>
          <w:szCs w:val="21"/>
        </w:rPr>
      </w:pPr>
      <w:r>
        <w:rPr>
          <w:rFonts w:hint="eastAsia" w:ascii="Times New Roman" w:hAnsi="宋体"/>
          <w:szCs w:val="21"/>
        </w:rPr>
        <w:t>你们应该对每一个临界循环参数的合格</w:t>
      </w:r>
      <w:r>
        <w:rPr>
          <w:rFonts w:ascii="Times New Roman" w:hAnsi="Times New Roman"/>
          <w:szCs w:val="21"/>
        </w:rPr>
        <w:t>/</w:t>
      </w:r>
      <w:r>
        <w:rPr>
          <w:rFonts w:hint="eastAsia" w:ascii="Times New Roman" w:hAnsi="宋体"/>
          <w:szCs w:val="21"/>
        </w:rPr>
        <w:t>不合格标准进行介绍，并提供合格</w:t>
      </w:r>
      <w:r>
        <w:rPr>
          <w:rFonts w:ascii="Times New Roman" w:hAnsi="Times New Roman"/>
          <w:szCs w:val="21"/>
        </w:rPr>
        <w:t>/</w:t>
      </w:r>
      <w:r>
        <w:rPr>
          <w:rFonts w:hint="eastAsia" w:ascii="Times New Roman" w:hAnsi="宋体"/>
          <w:szCs w:val="21"/>
        </w:rPr>
        <w:t>不合格标准来显示化学积分器将会如何对预期使用的灭菌周期内的所有临界参数做出反应。我们建议你们在保持其他参数不变的情况下，对阻力计中的一项参数进行一次评估。根据美国国家标准学会</w:t>
      </w:r>
      <w:r>
        <w:rPr>
          <w:rFonts w:ascii="Times New Roman" w:hAnsi="Times New Roman"/>
          <w:szCs w:val="21"/>
        </w:rPr>
        <w:t>/</w:t>
      </w:r>
      <w:r>
        <w:rPr>
          <w:rFonts w:hint="eastAsia" w:ascii="Times New Roman" w:hAnsi="宋体"/>
          <w:szCs w:val="21"/>
        </w:rPr>
        <w:t>美国医疗器械促进协会标准</w:t>
      </w:r>
      <w:r>
        <w:rPr>
          <w:rFonts w:ascii="Times New Roman" w:hAnsi="Times New Roman"/>
          <w:szCs w:val="21"/>
        </w:rPr>
        <w:t>60</w:t>
      </w:r>
      <w:r>
        <w:rPr>
          <w:rFonts w:hint="eastAsia" w:ascii="Times New Roman" w:hAnsi="宋体"/>
          <w:szCs w:val="21"/>
        </w:rPr>
        <w:t>的要求，终点反应的重现性与规定值之间的公差水平应该在</w:t>
      </w:r>
      <w:r>
        <w:rPr>
          <w:rFonts w:ascii="Times New Roman" w:hAnsi="Times New Roman"/>
          <w:szCs w:val="21"/>
        </w:rPr>
        <w:t>15%</w:t>
      </w:r>
      <w:r>
        <w:rPr>
          <w:rFonts w:hint="eastAsia" w:ascii="Times New Roman" w:hAnsi="宋体"/>
          <w:szCs w:val="21"/>
        </w:rPr>
        <w:t>之内。</w:t>
      </w:r>
    </w:p>
    <w:p w14:paraId="759D037E">
      <w:pPr>
        <w:spacing w:before="240" w:line="360" w:lineRule="auto"/>
        <w:ind w:left="840" w:leftChars="400"/>
        <w:rPr>
          <w:rFonts w:ascii="Times New Roman" w:hAnsi="Times New Roman"/>
          <w:szCs w:val="21"/>
        </w:rPr>
      </w:pPr>
      <w:r>
        <w:rPr>
          <w:rFonts w:hint="eastAsia" w:ascii="Times New Roman" w:hAnsi="宋体"/>
          <w:b/>
          <w:bCs/>
          <w:szCs w:val="21"/>
        </w:rPr>
        <w:t>与生物指示剂的并行测试</w:t>
      </w:r>
    </w:p>
    <w:p w14:paraId="0636F6DF">
      <w:pPr>
        <w:spacing w:line="360" w:lineRule="auto"/>
        <w:ind w:left="840" w:leftChars="400"/>
        <w:rPr>
          <w:rFonts w:ascii="Times New Roman" w:hAnsi="Times New Roman"/>
          <w:szCs w:val="21"/>
        </w:rPr>
      </w:pPr>
      <w:r>
        <w:rPr>
          <w:rFonts w:hint="eastAsia" w:ascii="Times New Roman" w:hAnsi="宋体"/>
          <w:szCs w:val="21"/>
        </w:rPr>
        <w:t>你们应该在合适的阻力计中进行生物指示剂和试验化学积分器的并行测试。你们应该在研究中预期的灭菌过程和灭菌周期中使用合法上市的生物指示剂。你们也应该声明研究中所用生物指示剂的差值。化学积分器应该与合适的生物指示剂的性能保持一致。根据美国国家标准学会</w:t>
      </w:r>
      <w:r>
        <w:rPr>
          <w:rFonts w:ascii="Times New Roman" w:hAnsi="Times New Roman"/>
          <w:szCs w:val="21"/>
        </w:rPr>
        <w:t>/</w:t>
      </w:r>
      <w:r>
        <w:rPr>
          <w:rFonts w:hint="eastAsia" w:ascii="Times New Roman" w:hAnsi="宋体"/>
          <w:szCs w:val="21"/>
        </w:rPr>
        <w:t>美国医疗器械促进协会标准</w:t>
      </w:r>
      <w:r>
        <w:rPr>
          <w:rFonts w:ascii="Times New Roman" w:hAnsi="Times New Roman"/>
          <w:szCs w:val="21"/>
        </w:rPr>
        <w:t>60</w:t>
      </w:r>
      <w:r>
        <w:rPr>
          <w:rFonts w:hint="eastAsia" w:ascii="Times New Roman" w:hAnsi="宋体"/>
          <w:szCs w:val="21"/>
        </w:rPr>
        <w:t>的要求，研究结果应该证明积分器不会在生物指示剂被灭活之前达到终点。</w:t>
      </w:r>
    </w:p>
    <w:p w14:paraId="2AA8A9A4">
      <w:pPr>
        <w:spacing w:before="240" w:line="360" w:lineRule="auto"/>
        <w:ind w:left="420" w:leftChars="200"/>
        <w:outlineLvl w:val="1"/>
        <w:rPr>
          <w:rFonts w:ascii="Times New Roman" w:hAnsi="Times New Roman"/>
          <w:szCs w:val="21"/>
        </w:rPr>
      </w:pPr>
      <w:bookmarkStart w:id="41" w:name="C_Chemical_Integrator_Test_Packs"/>
      <w:bookmarkEnd w:id="41"/>
      <w:bookmarkStart w:id="42" w:name="bookmark10"/>
      <w:bookmarkEnd w:id="42"/>
      <w:r>
        <w:rPr>
          <w:rFonts w:ascii="Times New Roman" w:hAnsi="Times New Roman"/>
          <w:szCs w:val="21"/>
        </w:rPr>
        <w:br w:type="page"/>
      </w:r>
      <w:bookmarkStart w:id="43" w:name="_Toc499728077"/>
      <w:r>
        <w:rPr>
          <w:rFonts w:ascii="Times New Roman" w:hAnsi="Times New Roman"/>
          <w:b/>
          <w:szCs w:val="21"/>
        </w:rPr>
        <w:t>C.</w:t>
      </w:r>
      <w:r>
        <w:rPr>
          <w:rFonts w:hint="eastAsia" w:ascii="Times New Roman" w:hAnsi="宋体"/>
          <w:b/>
          <w:bCs/>
          <w:i/>
          <w:iCs/>
          <w:szCs w:val="21"/>
        </w:rPr>
        <w:t>化学积分器测试包</w:t>
      </w:r>
      <w:bookmarkEnd w:id="43"/>
    </w:p>
    <w:p w14:paraId="10FD1D3C">
      <w:pPr>
        <w:spacing w:line="360" w:lineRule="auto"/>
        <w:ind w:left="420" w:leftChars="200"/>
        <w:rPr>
          <w:rFonts w:ascii="Times New Roman" w:hAnsi="Times New Roman"/>
          <w:szCs w:val="21"/>
        </w:rPr>
      </w:pPr>
      <w:r>
        <w:rPr>
          <w:rFonts w:hint="eastAsia" w:ascii="Times New Roman" w:hAnsi="宋体"/>
          <w:szCs w:val="21"/>
        </w:rPr>
        <w:t>可以在测试包中使用化学积分器来模拟正被消毒的产品。</w:t>
      </w:r>
      <w:r>
        <w:rPr>
          <w:rStyle w:val="16"/>
          <w:rFonts w:ascii="Times New Roman" w:hAnsi="宋体"/>
          <w:szCs w:val="21"/>
        </w:rPr>
        <w:footnoteReference w:id="4"/>
      </w:r>
      <w:r>
        <w:rPr>
          <w:rFonts w:hint="eastAsia" w:ascii="Times New Roman" w:hAnsi="宋体"/>
          <w:szCs w:val="21"/>
        </w:rPr>
        <w:t>这些测试包是用来对与常规处理过程中最困难的项目一样困难或比其更困难的灭菌过程进行挑战。</w:t>
      </w:r>
    </w:p>
    <w:p w14:paraId="092458BA">
      <w:pPr>
        <w:spacing w:before="240" w:line="360" w:lineRule="auto"/>
        <w:ind w:left="420" w:leftChars="200"/>
        <w:rPr>
          <w:rFonts w:ascii="Times New Roman" w:hAnsi="Times New Roman"/>
          <w:szCs w:val="21"/>
        </w:rPr>
      </w:pPr>
      <w:r>
        <w:rPr>
          <w:rFonts w:hint="eastAsia" w:ascii="Times New Roman" w:hAnsi="宋体"/>
          <w:szCs w:val="21"/>
        </w:rPr>
        <w:t>你们应该为化学积分器测试包提供下列信息：</w:t>
      </w:r>
    </w:p>
    <w:p w14:paraId="25B06FA9">
      <w:pPr>
        <w:numPr>
          <w:ilvl w:val="0"/>
          <w:numId w:val="6"/>
        </w:numPr>
        <w:spacing w:line="360" w:lineRule="auto"/>
        <w:ind w:left="840" w:leftChars="400"/>
        <w:rPr>
          <w:rFonts w:ascii="Times New Roman" w:hAnsi="Times New Roman"/>
          <w:szCs w:val="21"/>
        </w:rPr>
      </w:pPr>
      <w:r>
        <w:rPr>
          <w:rFonts w:hint="eastAsia" w:ascii="Times New Roman" w:hAnsi="宋体"/>
          <w:szCs w:val="21"/>
        </w:rPr>
        <w:t>在各自过程中对测试包中化学积分器的性能与美国医疗器械促进协会参考生物指示剂测试包进行比较的合格</w:t>
      </w:r>
      <w:r>
        <w:rPr>
          <w:rFonts w:ascii="Times New Roman" w:hAnsi="Times New Roman"/>
          <w:szCs w:val="21"/>
        </w:rPr>
        <w:t>/</w:t>
      </w:r>
      <w:r>
        <w:rPr>
          <w:rFonts w:hint="eastAsia" w:ascii="Times New Roman" w:hAnsi="宋体"/>
          <w:szCs w:val="21"/>
        </w:rPr>
        <w:t>不合格结果（美国医疗器械促进协会标准测试包被认为是</w:t>
      </w:r>
      <w:r>
        <w:rPr>
          <w:rFonts w:ascii="Times New Roman" w:hAnsi="Times New Roman"/>
          <w:szCs w:val="21"/>
        </w:rPr>
        <w:t>“</w:t>
      </w:r>
      <w:r>
        <w:rPr>
          <w:rFonts w:hint="eastAsia" w:ascii="Times New Roman" w:hAnsi="宋体"/>
          <w:szCs w:val="21"/>
        </w:rPr>
        <w:t>黄金</w:t>
      </w:r>
      <w:r>
        <w:rPr>
          <w:rFonts w:ascii="Times New Roman" w:hAnsi="Times New Roman"/>
          <w:szCs w:val="21"/>
        </w:rPr>
        <w:t>”</w:t>
      </w:r>
      <w:r>
        <w:rPr>
          <w:rFonts w:hint="eastAsia" w:ascii="Times New Roman" w:hAnsi="宋体"/>
          <w:szCs w:val="21"/>
        </w:rPr>
        <w:t>标准。）</w:t>
      </w:r>
    </w:p>
    <w:p w14:paraId="60ED185A">
      <w:pPr>
        <w:numPr>
          <w:ilvl w:val="0"/>
          <w:numId w:val="6"/>
        </w:numPr>
        <w:spacing w:line="360" w:lineRule="auto"/>
        <w:ind w:left="840" w:leftChars="400"/>
        <w:rPr>
          <w:rFonts w:ascii="Times New Roman" w:hAnsi="Times New Roman"/>
          <w:szCs w:val="21"/>
        </w:rPr>
      </w:pPr>
      <w:r>
        <w:rPr>
          <w:rFonts w:hint="eastAsia" w:ascii="Times New Roman" w:hAnsi="宋体"/>
          <w:szCs w:val="21"/>
        </w:rPr>
        <w:t>显示积分器测试包提供了与美国医疗器械促进协会标准测试包一样或比其更大挑战的信息</w:t>
      </w:r>
    </w:p>
    <w:p w14:paraId="574D7BC4">
      <w:pPr>
        <w:numPr>
          <w:ilvl w:val="0"/>
          <w:numId w:val="6"/>
        </w:numPr>
        <w:spacing w:line="360" w:lineRule="auto"/>
        <w:ind w:left="840" w:leftChars="400"/>
        <w:rPr>
          <w:rFonts w:ascii="Times New Roman" w:hAnsi="Times New Roman"/>
          <w:szCs w:val="21"/>
        </w:rPr>
      </w:pPr>
      <w:r>
        <w:rPr>
          <w:rFonts w:hint="eastAsia" w:ascii="Times New Roman" w:hAnsi="宋体"/>
          <w:szCs w:val="21"/>
        </w:rPr>
        <w:t>其他显示积分器测试包提供了比积分器本身更大的挑战过程的信息。</w:t>
      </w:r>
    </w:p>
    <w:p w14:paraId="03674311">
      <w:pPr>
        <w:spacing w:before="240" w:line="360" w:lineRule="auto"/>
        <w:ind w:left="420" w:leftChars="200"/>
        <w:outlineLvl w:val="1"/>
        <w:rPr>
          <w:rFonts w:ascii="Times New Roman" w:hAnsi="Times New Roman"/>
          <w:szCs w:val="21"/>
        </w:rPr>
      </w:pPr>
      <w:bookmarkStart w:id="44" w:name="D_Process_Indicators_for_New_Technology_"/>
      <w:bookmarkEnd w:id="44"/>
      <w:bookmarkStart w:id="45" w:name="_Toc499728078"/>
      <w:r>
        <w:rPr>
          <w:rFonts w:ascii="Times New Roman" w:hAnsi="Times New Roman"/>
          <w:b/>
          <w:bCs/>
          <w:iCs/>
          <w:szCs w:val="21"/>
        </w:rPr>
        <w:t>D.</w:t>
      </w:r>
      <w:r>
        <w:rPr>
          <w:rFonts w:hint="eastAsia" w:ascii="Times New Roman" w:hAnsi="宋体"/>
          <w:b/>
          <w:bCs/>
          <w:i/>
          <w:iCs/>
          <w:szCs w:val="21"/>
        </w:rPr>
        <w:t>新型灭菌器所使用的过程指示剂</w:t>
      </w:r>
      <w:bookmarkEnd w:id="45"/>
    </w:p>
    <w:p w14:paraId="7AB1402B">
      <w:pPr>
        <w:spacing w:line="360" w:lineRule="auto"/>
        <w:ind w:left="420" w:leftChars="200"/>
        <w:rPr>
          <w:rFonts w:ascii="Times New Roman" w:hAnsi="Times New Roman"/>
          <w:szCs w:val="21"/>
        </w:rPr>
      </w:pPr>
      <w:r>
        <w:rPr>
          <w:rFonts w:hint="eastAsia" w:ascii="Times New Roman" w:hAnsi="宋体"/>
          <w:szCs w:val="21"/>
        </w:rPr>
        <w:t>对于新型灭菌器所使用的化学指示剂，没有特定的性能标准。但是，我们认为上文中列出的标准可以用来对这些化学指示剂的性能进行评估。用于对汽化过氧化氢、微波、气体等离子或臭氧等新型灭菌剂进行监视的化学指示剂可能会被判定为与合法上市的化学指示剂之间具有实质等效性，包括修改前的化学指示剂或者</w:t>
      </w:r>
      <w:r>
        <w:rPr>
          <w:rFonts w:ascii="Times New Roman" w:hAnsi="Times New Roman"/>
          <w:szCs w:val="21"/>
        </w:rPr>
        <w:t>510(k)</w:t>
      </w:r>
      <w:r>
        <w:rPr>
          <w:rFonts w:hint="eastAsia" w:ascii="Times New Roman" w:hAnsi="宋体"/>
          <w:szCs w:val="21"/>
        </w:rPr>
        <w:t>过程中发现具有实质等效性的化学指示剂。你们应该根据化学指示剂的适应症提供对其进行介绍的合格</w:t>
      </w:r>
      <w:r>
        <w:rPr>
          <w:rFonts w:ascii="Times New Roman" w:hAnsi="Times New Roman"/>
          <w:szCs w:val="21"/>
        </w:rPr>
        <w:t>/</w:t>
      </w:r>
      <w:r>
        <w:rPr>
          <w:rFonts w:hint="eastAsia" w:ascii="Times New Roman" w:hAnsi="宋体"/>
          <w:szCs w:val="21"/>
        </w:rPr>
        <w:t>不合格标准。一般而言，你们应该：</w:t>
      </w:r>
    </w:p>
    <w:p w14:paraId="7D25E207">
      <w:pPr>
        <w:numPr>
          <w:ilvl w:val="0"/>
          <w:numId w:val="6"/>
        </w:numPr>
        <w:spacing w:line="360" w:lineRule="auto"/>
        <w:ind w:left="840" w:leftChars="400"/>
        <w:rPr>
          <w:rFonts w:ascii="Times New Roman" w:hAnsi="Times New Roman"/>
          <w:szCs w:val="21"/>
        </w:rPr>
      </w:pPr>
      <w:r>
        <w:rPr>
          <w:rFonts w:hint="eastAsia" w:ascii="Times New Roman" w:hAnsi="宋体"/>
          <w:szCs w:val="21"/>
        </w:rPr>
        <w:t>确定温度、时间和灭菌剂浓度等灭菌周期中的临界参数</w:t>
      </w:r>
    </w:p>
    <w:p w14:paraId="3823454A">
      <w:pPr>
        <w:numPr>
          <w:ilvl w:val="0"/>
          <w:numId w:val="6"/>
        </w:numPr>
        <w:spacing w:line="360" w:lineRule="auto"/>
        <w:ind w:left="840" w:leftChars="400"/>
        <w:rPr>
          <w:rFonts w:ascii="Times New Roman" w:hAnsi="Times New Roman"/>
          <w:szCs w:val="21"/>
        </w:rPr>
      </w:pPr>
      <w:r>
        <w:rPr>
          <w:rFonts w:hint="eastAsia" w:ascii="Times New Roman" w:hAnsi="宋体"/>
          <w:szCs w:val="21"/>
        </w:rPr>
        <w:t>确定影响指示剂的变化所需要的最小暴露参数</w:t>
      </w:r>
    </w:p>
    <w:p w14:paraId="39100194">
      <w:pPr>
        <w:numPr>
          <w:ilvl w:val="0"/>
          <w:numId w:val="6"/>
        </w:numPr>
        <w:spacing w:line="360" w:lineRule="auto"/>
        <w:ind w:left="840" w:leftChars="400"/>
        <w:rPr>
          <w:rFonts w:ascii="Times New Roman" w:hAnsi="Times New Roman"/>
          <w:szCs w:val="21"/>
        </w:rPr>
      </w:pPr>
      <w:r>
        <w:rPr>
          <w:rFonts w:hint="eastAsia" w:ascii="Times New Roman" w:hAnsi="宋体"/>
          <w:szCs w:val="21"/>
        </w:rPr>
        <w:t>建立合格</w:t>
      </w:r>
      <w:r>
        <w:rPr>
          <w:rFonts w:ascii="Times New Roman" w:hAnsi="Times New Roman"/>
          <w:szCs w:val="21"/>
        </w:rPr>
        <w:t>/</w:t>
      </w:r>
      <w:r>
        <w:rPr>
          <w:rFonts w:hint="eastAsia" w:ascii="Times New Roman" w:hAnsi="宋体"/>
          <w:szCs w:val="21"/>
        </w:rPr>
        <w:t>不合格标准</w:t>
      </w:r>
    </w:p>
    <w:p w14:paraId="60237801">
      <w:pPr>
        <w:numPr>
          <w:ilvl w:val="0"/>
          <w:numId w:val="6"/>
        </w:numPr>
        <w:spacing w:line="360" w:lineRule="auto"/>
        <w:ind w:left="840" w:leftChars="400"/>
        <w:rPr>
          <w:rFonts w:ascii="Times New Roman" w:hAnsi="Times New Roman"/>
          <w:szCs w:val="21"/>
        </w:rPr>
      </w:pPr>
      <w:r>
        <w:rPr>
          <w:rFonts w:hint="eastAsia" w:ascii="Times New Roman" w:hAnsi="宋体"/>
          <w:szCs w:val="21"/>
        </w:rPr>
        <w:t>对预计发生的终点反应或变化进行详细介绍</w:t>
      </w:r>
    </w:p>
    <w:p w14:paraId="6491425A">
      <w:pPr>
        <w:numPr>
          <w:ilvl w:val="0"/>
          <w:numId w:val="6"/>
        </w:numPr>
        <w:spacing w:line="360" w:lineRule="auto"/>
        <w:ind w:left="840" w:leftChars="400"/>
        <w:rPr>
          <w:rFonts w:ascii="Times New Roman" w:hAnsi="Times New Roman"/>
          <w:szCs w:val="21"/>
        </w:rPr>
      </w:pPr>
      <w:r>
        <w:rPr>
          <w:rFonts w:hint="eastAsia" w:ascii="Times New Roman" w:hAnsi="宋体"/>
          <w:szCs w:val="21"/>
        </w:rPr>
        <w:t>提供证明化学指示剂如何与合适的阻力计容器中特定的临界参数发生反应的合格</w:t>
      </w:r>
      <w:r>
        <w:rPr>
          <w:rFonts w:ascii="Times New Roman" w:hAnsi="Times New Roman"/>
          <w:szCs w:val="21"/>
        </w:rPr>
        <w:t>/</w:t>
      </w:r>
      <w:r>
        <w:rPr>
          <w:rFonts w:hint="eastAsia" w:ascii="Times New Roman" w:hAnsi="宋体"/>
          <w:szCs w:val="21"/>
        </w:rPr>
        <w:t>不合格结果（如果与有）以便进行介绍，并将其与上面获得的结果进行比较</w:t>
      </w:r>
    </w:p>
    <w:p w14:paraId="67936BF4">
      <w:pPr>
        <w:numPr>
          <w:ilvl w:val="0"/>
          <w:numId w:val="6"/>
        </w:numPr>
        <w:spacing w:line="360" w:lineRule="auto"/>
        <w:ind w:left="840" w:leftChars="400"/>
        <w:rPr>
          <w:rFonts w:ascii="Times New Roman" w:hAnsi="Times New Roman"/>
          <w:szCs w:val="21"/>
        </w:rPr>
      </w:pPr>
      <w:r>
        <w:rPr>
          <w:rFonts w:hint="eastAsia" w:ascii="Times New Roman" w:hAnsi="宋体"/>
          <w:szCs w:val="21"/>
        </w:rPr>
        <w:t>使用在统计学上有效的样本数来证明再现性。</w:t>
      </w:r>
    </w:p>
    <w:p w14:paraId="42A36565">
      <w:pPr>
        <w:spacing w:line="360" w:lineRule="auto"/>
        <w:ind w:left="420" w:leftChars="200"/>
        <w:outlineLvl w:val="1"/>
        <w:rPr>
          <w:rFonts w:ascii="Times New Roman" w:hAnsi="Times New Roman"/>
          <w:szCs w:val="21"/>
        </w:rPr>
      </w:pPr>
      <w:bookmarkStart w:id="46" w:name="bookmark12"/>
      <w:bookmarkEnd w:id="46"/>
      <w:bookmarkStart w:id="47" w:name="Chemical_Integrators_for_New_Technology_"/>
      <w:bookmarkEnd w:id="47"/>
      <w:r>
        <w:rPr>
          <w:rFonts w:ascii="Times New Roman" w:hAnsi="Times New Roman"/>
          <w:szCs w:val="21"/>
        </w:rPr>
        <w:br w:type="page"/>
      </w:r>
      <w:bookmarkStart w:id="48" w:name="_Toc499728079"/>
      <w:r>
        <w:rPr>
          <w:rFonts w:ascii="Times New Roman" w:hAnsi="Times New Roman"/>
          <w:b/>
          <w:szCs w:val="21"/>
        </w:rPr>
        <w:t>E.</w:t>
      </w:r>
      <w:r>
        <w:rPr>
          <w:rFonts w:hint="eastAsia" w:ascii="Times New Roman" w:hAnsi="宋体"/>
          <w:b/>
          <w:bCs/>
          <w:i/>
          <w:iCs/>
          <w:szCs w:val="21"/>
        </w:rPr>
        <w:t>新型灭菌器所使用的化学积分器</w:t>
      </w:r>
      <w:bookmarkEnd w:id="48"/>
    </w:p>
    <w:p w14:paraId="60218CAE">
      <w:pPr>
        <w:spacing w:line="360" w:lineRule="auto"/>
        <w:ind w:left="420" w:leftChars="200"/>
        <w:rPr>
          <w:rFonts w:ascii="Times New Roman" w:hAnsi="Times New Roman"/>
          <w:szCs w:val="21"/>
        </w:rPr>
      </w:pPr>
      <w:r>
        <w:rPr>
          <w:rFonts w:ascii="Times New Roman" w:hAnsi="Times New Roman"/>
          <w:b/>
          <w:bCs/>
          <w:szCs w:val="21"/>
        </w:rPr>
        <w:t>VII.</w:t>
      </w:r>
      <w:r>
        <w:rPr>
          <w:rFonts w:ascii="Times New Roman" w:hAnsi="Times New Roman"/>
          <w:b/>
          <w:szCs w:val="21"/>
        </w:rPr>
        <w:t>B</w:t>
      </w:r>
      <w:r>
        <w:rPr>
          <w:rFonts w:hint="eastAsia" w:ascii="Times New Roman" w:hAnsi="宋体"/>
          <w:b/>
          <w:szCs w:val="21"/>
        </w:rPr>
        <w:t>化学积分器</w:t>
      </w:r>
      <w:r>
        <w:rPr>
          <w:rFonts w:hint="eastAsia" w:ascii="Times New Roman" w:hAnsi="宋体"/>
          <w:szCs w:val="21"/>
        </w:rPr>
        <w:t>和</w:t>
      </w:r>
      <w:r>
        <w:rPr>
          <w:rFonts w:ascii="Times New Roman" w:hAnsi="Times New Roman"/>
          <w:b/>
          <w:bCs/>
          <w:szCs w:val="21"/>
        </w:rPr>
        <w:t>VII.</w:t>
      </w:r>
      <w:r>
        <w:rPr>
          <w:rFonts w:ascii="Times New Roman" w:hAnsi="Times New Roman"/>
          <w:b/>
          <w:szCs w:val="21"/>
        </w:rPr>
        <w:t>D.</w:t>
      </w:r>
      <w:r>
        <w:rPr>
          <w:rFonts w:hint="eastAsia" w:ascii="Times New Roman" w:hAnsi="宋体"/>
          <w:b/>
          <w:szCs w:val="21"/>
        </w:rPr>
        <w:t>新型灭菌器所使用的过程指示剂</w:t>
      </w:r>
      <w:r>
        <w:rPr>
          <w:rFonts w:hint="eastAsia" w:ascii="Times New Roman" w:hAnsi="宋体"/>
          <w:szCs w:val="21"/>
        </w:rPr>
        <w:t>所介绍的测试也适用于新型灭菌剂积分器。</w:t>
      </w:r>
    </w:p>
    <w:p w14:paraId="4A2A6B9B">
      <w:pPr>
        <w:spacing w:before="240" w:line="360" w:lineRule="auto"/>
        <w:ind w:left="420" w:leftChars="200"/>
        <w:rPr>
          <w:rFonts w:ascii="Times New Roman" w:hAnsi="Times New Roman"/>
          <w:szCs w:val="21"/>
        </w:rPr>
      </w:pPr>
      <w:r>
        <w:rPr>
          <w:rFonts w:hint="eastAsia" w:ascii="Times New Roman" w:hAnsi="宋体"/>
          <w:szCs w:val="21"/>
        </w:rPr>
        <w:t>此外，美国食品药品管理局建议用验证新型灭菌剂周期的生物指示剂来验证化学积分器的性能。积分器在生物指示剂被灭菌之前不应该到达终点。</w:t>
      </w:r>
    </w:p>
    <w:p w14:paraId="11D56DCD">
      <w:pPr>
        <w:spacing w:before="240" w:line="360" w:lineRule="auto"/>
        <w:ind w:left="420" w:leftChars="200"/>
        <w:outlineLvl w:val="1"/>
        <w:rPr>
          <w:rFonts w:ascii="Times New Roman" w:hAnsi="Times New Roman"/>
          <w:szCs w:val="21"/>
        </w:rPr>
      </w:pPr>
      <w:bookmarkStart w:id="49" w:name="F_New_Technology_Chemical_Integrator_Tes"/>
      <w:bookmarkEnd w:id="49"/>
      <w:bookmarkStart w:id="50" w:name="_Toc499728080"/>
      <w:r>
        <w:rPr>
          <w:rFonts w:ascii="Times New Roman" w:hAnsi="Times New Roman"/>
          <w:b/>
          <w:bCs/>
          <w:iCs/>
          <w:szCs w:val="21"/>
        </w:rPr>
        <w:t>F.</w:t>
      </w:r>
      <w:r>
        <w:rPr>
          <w:rFonts w:hint="eastAsia" w:ascii="Times New Roman" w:hAnsi="宋体"/>
          <w:b/>
          <w:bCs/>
          <w:i/>
          <w:iCs/>
          <w:szCs w:val="21"/>
        </w:rPr>
        <w:t>新型化学积分器测试包</w:t>
      </w:r>
      <w:bookmarkEnd w:id="50"/>
    </w:p>
    <w:p w14:paraId="46478026">
      <w:pPr>
        <w:spacing w:line="360" w:lineRule="auto"/>
        <w:ind w:left="420" w:leftChars="200"/>
        <w:rPr>
          <w:rFonts w:ascii="Times New Roman" w:hAnsi="Times New Roman"/>
          <w:szCs w:val="21"/>
        </w:rPr>
      </w:pPr>
      <w:r>
        <w:rPr>
          <w:rFonts w:hint="eastAsia" w:ascii="Times New Roman" w:hAnsi="宋体"/>
          <w:szCs w:val="21"/>
        </w:rPr>
        <w:t>对于新型积分器测试包，不存在</w:t>
      </w:r>
      <w:r>
        <w:rPr>
          <w:rFonts w:ascii="Times New Roman" w:hAnsi="Times New Roman"/>
          <w:szCs w:val="21"/>
        </w:rPr>
        <w:t>“</w:t>
      </w:r>
      <w:r>
        <w:rPr>
          <w:rFonts w:hint="eastAsia" w:ascii="Times New Roman" w:hAnsi="宋体"/>
          <w:szCs w:val="21"/>
        </w:rPr>
        <w:t>黄金</w:t>
      </w:r>
      <w:r>
        <w:rPr>
          <w:rFonts w:ascii="Times New Roman" w:hAnsi="Times New Roman"/>
          <w:szCs w:val="21"/>
        </w:rPr>
        <w:t>”</w:t>
      </w:r>
      <w:r>
        <w:rPr>
          <w:rFonts w:hint="eastAsia" w:ascii="Times New Roman" w:hAnsi="宋体"/>
          <w:szCs w:val="21"/>
        </w:rPr>
        <w:t>标准。我们建议你们使用传统灭菌方法中使用的性能标准来证明新型化学积分器的阻力。美国国家标准学会</w:t>
      </w:r>
      <w:r>
        <w:rPr>
          <w:rFonts w:ascii="Times New Roman" w:hAnsi="Times New Roman"/>
          <w:szCs w:val="21"/>
        </w:rPr>
        <w:t>/</w:t>
      </w:r>
      <w:r>
        <w:rPr>
          <w:rFonts w:hint="eastAsia" w:ascii="Times New Roman" w:hAnsi="宋体"/>
          <w:szCs w:val="21"/>
        </w:rPr>
        <w:t>美国医疗器械促进协会标准</w:t>
      </w:r>
      <w:r>
        <w:rPr>
          <w:rFonts w:ascii="Times New Roman" w:hAnsi="Times New Roman"/>
          <w:szCs w:val="21"/>
        </w:rPr>
        <w:t>46</w:t>
      </w:r>
      <w:r>
        <w:rPr>
          <w:rFonts w:hint="eastAsia" w:ascii="Times New Roman" w:hAnsi="宋体"/>
          <w:szCs w:val="21"/>
        </w:rPr>
        <w:t>及标准</w:t>
      </w:r>
      <w:r>
        <w:rPr>
          <w:rFonts w:ascii="Times New Roman" w:hAnsi="Times New Roman"/>
          <w:szCs w:val="21"/>
        </w:rPr>
        <w:t>41</w:t>
      </w:r>
      <w:r>
        <w:rPr>
          <w:rFonts w:hint="eastAsia" w:ascii="Times New Roman" w:hAnsi="宋体"/>
          <w:szCs w:val="21"/>
        </w:rPr>
        <w:t>确定了这些性能标准（参见</w:t>
      </w:r>
      <w:r>
        <w:rPr>
          <w:rFonts w:ascii="Times New Roman" w:hAnsi="Times New Roman"/>
          <w:b/>
          <w:bCs/>
          <w:szCs w:val="21"/>
        </w:rPr>
        <w:t>XII.</w:t>
      </w:r>
      <w:r>
        <w:rPr>
          <w:rFonts w:hint="eastAsia" w:ascii="Times New Roman" w:hAnsi="宋体"/>
          <w:b/>
          <w:szCs w:val="21"/>
        </w:rPr>
        <w:t>参考文献</w:t>
      </w:r>
      <w:r>
        <w:rPr>
          <w:rFonts w:hint="eastAsia" w:ascii="Times New Roman" w:hAnsi="宋体"/>
          <w:szCs w:val="21"/>
        </w:rPr>
        <w:t>）。你们应该提供合格</w:t>
      </w:r>
      <w:r>
        <w:rPr>
          <w:rFonts w:ascii="Times New Roman" w:hAnsi="Times New Roman"/>
          <w:szCs w:val="21"/>
        </w:rPr>
        <w:t>/</w:t>
      </w:r>
      <w:r>
        <w:rPr>
          <w:rFonts w:hint="eastAsia" w:ascii="Times New Roman" w:hAnsi="宋体"/>
          <w:szCs w:val="21"/>
        </w:rPr>
        <w:t>不合格结果，证明测试包提供了比用来验证新型灭菌过程的生物指示剂以及积分器本身更大的挑战。例如：在各自的过程中，挑战应该与美国国家标准学会</w:t>
      </w:r>
      <w:r>
        <w:rPr>
          <w:rFonts w:ascii="Times New Roman" w:hAnsi="Times New Roman"/>
          <w:szCs w:val="21"/>
        </w:rPr>
        <w:t>/</w:t>
      </w:r>
      <w:r>
        <w:rPr>
          <w:rFonts w:hint="eastAsia" w:ascii="Times New Roman" w:hAnsi="宋体"/>
          <w:szCs w:val="21"/>
        </w:rPr>
        <w:t>美国医疗器械促进协会标准</w:t>
      </w:r>
      <w:r>
        <w:rPr>
          <w:rFonts w:ascii="Times New Roman" w:hAnsi="Times New Roman"/>
          <w:szCs w:val="21"/>
        </w:rPr>
        <w:t>46</w:t>
      </w:r>
      <w:r>
        <w:rPr>
          <w:rFonts w:hint="eastAsia" w:ascii="Times New Roman" w:hAnsi="宋体"/>
          <w:szCs w:val="21"/>
        </w:rPr>
        <w:t>及标准</w:t>
      </w:r>
      <w:r>
        <w:rPr>
          <w:rFonts w:ascii="Times New Roman" w:hAnsi="Times New Roman"/>
          <w:szCs w:val="21"/>
        </w:rPr>
        <w:t>41</w:t>
      </w:r>
      <w:r>
        <w:rPr>
          <w:rFonts w:hint="eastAsia" w:ascii="Times New Roman" w:hAnsi="宋体"/>
          <w:szCs w:val="21"/>
        </w:rPr>
        <w:t>中生物指示剂测试包所提供的差值增加相同。</w:t>
      </w:r>
    </w:p>
    <w:p w14:paraId="1BA0781A">
      <w:pPr>
        <w:spacing w:before="240" w:line="360" w:lineRule="auto"/>
        <w:ind w:left="420" w:leftChars="200"/>
        <w:outlineLvl w:val="1"/>
        <w:rPr>
          <w:rFonts w:ascii="Times New Roman" w:hAnsi="Times New Roman"/>
          <w:szCs w:val="21"/>
        </w:rPr>
      </w:pPr>
      <w:bookmarkStart w:id="51" w:name="G_Air_Removal_Indicators"/>
      <w:bookmarkEnd w:id="51"/>
      <w:bookmarkStart w:id="52" w:name="_Toc499728081"/>
      <w:r>
        <w:rPr>
          <w:rFonts w:ascii="Times New Roman" w:hAnsi="Times New Roman"/>
          <w:b/>
          <w:bCs/>
          <w:iCs/>
          <w:szCs w:val="21"/>
        </w:rPr>
        <w:t>G.</w:t>
      </w:r>
      <w:r>
        <w:rPr>
          <w:rFonts w:hint="eastAsia" w:ascii="Times New Roman" w:hAnsi="宋体"/>
          <w:b/>
          <w:bCs/>
          <w:i/>
          <w:iCs/>
          <w:szCs w:val="21"/>
        </w:rPr>
        <w:t>排气指示剂</w:t>
      </w:r>
      <w:bookmarkEnd w:id="52"/>
    </w:p>
    <w:p w14:paraId="7A32711D">
      <w:pPr>
        <w:spacing w:line="360" w:lineRule="auto"/>
        <w:ind w:left="420" w:leftChars="200"/>
        <w:rPr>
          <w:rFonts w:ascii="Times New Roman" w:hAnsi="Times New Roman"/>
          <w:szCs w:val="21"/>
        </w:rPr>
      </w:pPr>
      <w:r>
        <w:rPr>
          <w:rFonts w:hint="eastAsia" w:ascii="Times New Roman" w:hAnsi="宋体"/>
          <w:szCs w:val="21"/>
        </w:rPr>
        <w:t>对于排气指示剂，美国食品药品管理局建议你们确定测试包（</w:t>
      </w:r>
      <w:r>
        <w:rPr>
          <w:rFonts w:ascii="Times New Roman" w:hAnsi="Times New Roman"/>
          <w:szCs w:val="21"/>
        </w:rPr>
        <w:t>Bowie Dick</w:t>
      </w:r>
      <w:r>
        <w:rPr>
          <w:rFonts w:hint="eastAsia" w:ascii="Times New Roman" w:hAnsi="宋体"/>
          <w:szCs w:val="21"/>
        </w:rPr>
        <w:t>测试）下列性能标准和终点规格。</w:t>
      </w:r>
    </w:p>
    <w:p w14:paraId="5E4168F8">
      <w:pPr>
        <w:spacing w:before="240" w:line="360" w:lineRule="auto"/>
        <w:ind w:left="420" w:leftChars="200"/>
        <w:rPr>
          <w:rFonts w:ascii="Times New Roman" w:hAnsi="Times New Roman"/>
          <w:szCs w:val="21"/>
        </w:rPr>
      </w:pPr>
      <w:r>
        <w:rPr>
          <w:rFonts w:hint="eastAsia" w:ascii="Times New Roman" w:hAnsi="宋体"/>
          <w:szCs w:val="21"/>
        </w:rPr>
        <w:t>你们应该提供合格</w:t>
      </w:r>
      <w:r>
        <w:rPr>
          <w:rFonts w:ascii="Times New Roman" w:hAnsi="Times New Roman"/>
          <w:szCs w:val="21"/>
        </w:rPr>
        <w:t>/</w:t>
      </w:r>
      <w:r>
        <w:rPr>
          <w:rFonts w:hint="eastAsia" w:ascii="Times New Roman" w:hAnsi="宋体"/>
          <w:szCs w:val="21"/>
        </w:rPr>
        <w:t>不合格结果，证明当暴露到</w:t>
      </w:r>
      <w:r>
        <w:rPr>
          <w:rFonts w:ascii="Times New Roman" w:hAnsi="Times New Roman"/>
          <w:szCs w:val="21"/>
        </w:rPr>
        <w:t>140±2</w:t>
      </w:r>
      <w:r>
        <w:rPr>
          <w:rFonts w:hint="eastAsia" w:ascii="宋体" w:hAnsi="宋体" w:cs="宋体"/>
          <w:szCs w:val="21"/>
        </w:rPr>
        <w:t>℃</w:t>
      </w:r>
      <w:r>
        <w:rPr>
          <w:rFonts w:hint="eastAsia" w:ascii="Times New Roman" w:hAnsi="宋体"/>
          <w:szCs w:val="21"/>
        </w:rPr>
        <w:t>环境下干热</w:t>
      </w:r>
      <w:r>
        <w:rPr>
          <w:rFonts w:ascii="Times New Roman" w:hAnsi="Times New Roman"/>
          <w:szCs w:val="21"/>
        </w:rPr>
        <w:t>30</w:t>
      </w:r>
      <w:r>
        <w:rPr>
          <w:rFonts w:hint="eastAsia" w:ascii="Times New Roman" w:hAnsi="宋体"/>
          <w:szCs w:val="21"/>
        </w:rPr>
        <w:t>分钟的时候，化学指示剂不会达到其终点。</w:t>
      </w:r>
    </w:p>
    <w:p w14:paraId="7D51CA62">
      <w:pPr>
        <w:spacing w:before="240" w:line="360" w:lineRule="auto"/>
        <w:ind w:left="420" w:leftChars="200"/>
        <w:rPr>
          <w:rFonts w:ascii="Times New Roman" w:hAnsi="Times New Roman"/>
          <w:szCs w:val="21"/>
        </w:rPr>
      </w:pPr>
      <w:r>
        <w:rPr>
          <w:rFonts w:hint="eastAsia" w:ascii="Times New Roman" w:hAnsi="宋体"/>
          <w:szCs w:val="21"/>
        </w:rPr>
        <w:t>你们也应该提供证明真空灭菌器里空气探测公差的合格</w:t>
      </w:r>
      <w:r>
        <w:rPr>
          <w:rFonts w:ascii="Times New Roman" w:hAnsi="Times New Roman"/>
          <w:szCs w:val="21"/>
        </w:rPr>
        <w:t>/</w:t>
      </w:r>
      <w:r>
        <w:rPr>
          <w:rFonts w:hint="eastAsia" w:ascii="Times New Roman" w:hAnsi="宋体"/>
          <w:szCs w:val="21"/>
        </w:rPr>
        <w:t>不合格结果。你们可以通过注入空气或抽成完全真空来模拟故障状态使指示剂产生不均匀的变化。你们应该提供热电偶图表，显示循环过程中不同位置在故障状态时的温度下降情况。</w:t>
      </w:r>
    </w:p>
    <w:p w14:paraId="2F21441E">
      <w:pPr>
        <w:spacing w:before="240" w:line="360" w:lineRule="auto"/>
        <w:ind w:left="420" w:leftChars="200"/>
        <w:rPr>
          <w:rFonts w:ascii="Times New Roman" w:hAnsi="Times New Roman"/>
          <w:szCs w:val="21"/>
        </w:rPr>
      </w:pPr>
      <w:r>
        <w:rPr>
          <w:rFonts w:hint="eastAsia" w:ascii="Times New Roman" w:hAnsi="宋体"/>
          <w:szCs w:val="21"/>
        </w:rPr>
        <w:t>应该将显示故障结果的热电偶图表与显示合格指示剂的图表进行比对。根据美国国家标准学会</w:t>
      </w:r>
      <w:r>
        <w:rPr>
          <w:rFonts w:ascii="Times New Roman" w:hAnsi="Times New Roman"/>
          <w:szCs w:val="21"/>
        </w:rPr>
        <w:t>/</w:t>
      </w:r>
      <w:r>
        <w:rPr>
          <w:rFonts w:hint="eastAsia" w:ascii="Times New Roman" w:hAnsi="宋体"/>
          <w:szCs w:val="21"/>
        </w:rPr>
        <w:t>美国医疗器械促进协会标准</w:t>
      </w:r>
      <w:r>
        <w:rPr>
          <w:rFonts w:ascii="Times New Roman" w:hAnsi="Times New Roman"/>
          <w:szCs w:val="21"/>
        </w:rPr>
        <w:t>66</w:t>
      </w:r>
      <w:r>
        <w:rPr>
          <w:rFonts w:hint="eastAsia" w:ascii="Times New Roman" w:hAnsi="宋体"/>
          <w:szCs w:val="21"/>
        </w:rPr>
        <w:t>的要求，测试包之内的测试温度应该低于</w:t>
      </w:r>
      <w:r>
        <w:rPr>
          <w:rFonts w:ascii="Times New Roman" w:hAnsi="Times New Roman"/>
          <w:szCs w:val="21"/>
        </w:rPr>
        <w:t>0.5</w:t>
      </w:r>
      <w:r>
        <w:rPr>
          <w:rFonts w:hint="eastAsia" w:ascii="宋体" w:hAnsi="宋体" w:cs="宋体"/>
          <w:szCs w:val="21"/>
        </w:rPr>
        <w:t>℃</w:t>
      </w:r>
      <w:r>
        <w:rPr>
          <w:rFonts w:hint="eastAsia" w:ascii="Times New Roman" w:hAnsi="宋体"/>
          <w:szCs w:val="21"/>
        </w:rPr>
        <w:t>才算合格。</w:t>
      </w:r>
    </w:p>
    <w:p w14:paraId="1EC2D4E1">
      <w:pPr>
        <w:spacing w:before="240" w:line="360" w:lineRule="auto"/>
        <w:ind w:left="420" w:leftChars="200"/>
        <w:rPr>
          <w:rFonts w:ascii="Times New Roman" w:hAnsi="Times New Roman"/>
          <w:szCs w:val="21"/>
        </w:rPr>
      </w:pPr>
      <w:r>
        <w:rPr>
          <w:rFonts w:hint="eastAsia" w:ascii="Times New Roman" w:hAnsi="宋体"/>
          <w:szCs w:val="21"/>
        </w:rPr>
        <w:t>想要在更大面积的空气探测中获得更大的灵敏度，美国食品药品管理局建议排气指示剂片在测试包中大概在</w:t>
      </w:r>
      <w:r>
        <w:rPr>
          <w:rFonts w:ascii="Times New Roman" w:hAnsi="Times New Roman"/>
          <w:szCs w:val="21"/>
        </w:rPr>
        <w:t>8</w:t>
      </w:r>
      <w:r>
        <w:rPr>
          <w:rFonts w:hint="eastAsia" w:ascii="Times New Roman" w:hAnsi="宋体"/>
          <w:szCs w:val="21"/>
        </w:rPr>
        <w:t>英寸</w:t>
      </w:r>
      <w:r>
        <w:rPr>
          <w:rFonts w:ascii="Times New Roman" w:hAnsi="Times New Roman"/>
          <w:szCs w:val="21"/>
        </w:rPr>
        <w:t>×10</w:t>
      </w:r>
      <w:r>
        <w:rPr>
          <w:rFonts w:hint="eastAsia" w:ascii="Times New Roman" w:hAnsi="宋体"/>
          <w:szCs w:val="21"/>
        </w:rPr>
        <w:t>英寸（美国国家标准学会</w:t>
      </w:r>
      <w:r>
        <w:rPr>
          <w:rFonts w:ascii="Times New Roman" w:hAnsi="Times New Roman"/>
          <w:szCs w:val="21"/>
        </w:rPr>
        <w:t>/</w:t>
      </w:r>
      <w:r>
        <w:rPr>
          <w:rFonts w:hint="eastAsia" w:ascii="Times New Roman" w:hAnsi="宋体"/>
          <w:szCs w:val="21"/>
        </w:rPr>
        <w:t>美国医疗器械促进协会标准</w:t>
      </w:r>
      <w:r>
        <w:rPr>
          <w:rFonts w:ascii="Times New Roman" w:hAnsi="Times New Roman"/>
          <w:szCs w:val="21"/>
        </w:rPr>
        <w:t>60</w:t>
      </w:r>
      <w:r>
        <w:rPr>
          <w:rFonts w:hint="eastAsia" w:ascii="Times New Roman" w:hAnsi="宋体"/>
          <w:szCs w:val="21"/>
        </w:rPr>
        <w:t>）。指示剂应该覆盖测试单的很大比例，并且应该保持统一。</w:t>
      </w:r>
    </w:p>
    <w:p w14:paraId="6715C106">
      <w:pPr>
        <w:spacing w:before="240" w:line="360" w:lineRule="auto"/>
        <w:ind w:left="420" w:leftChars="200"/>
        <w:rPr>
          <w:rFonts w:ascii="Times New Roman" w:hAnsi="Times New Roman"/>
          <w:szCs w:val="21"/>
        </w:rPr>
      </w:pPr>
      <w:bookmarkStart w:id="53" w:name="bookmark13"/>
      <w:bookmarkEnd w:id="53"/>
      <w:r>
        <w:rPr>
          <w:rFonts w:ascii="Times New Roman" w:hAnsi="Times New Roman"/>
          <w:szCs w:val="21"/>
        </w:rPr>
        <w:br w:type="page"/>
      </w:r>
      <w:r>
        <w:rPr>
          <w:rFonts w:hint="eastAsia" w:ascii="Times New Roman" w:hAnsi="宋体"/>
          <w:szCs w:val="21"/>
        </w:rPr>
        <w:t>你们应该提供排气指示剂构造过程中所用材料孔隙率的说明。根据美国国家标准学会</w:t>
      </w:r>
      <w:r>
        <w:rPr>
          <w:rFonts w:ascii="Times New Roman" w:hAnsi="Times New Roman"/>
          <w:szCs w:val="21"/>
        </w:rPr>
        <w:t>/</w:t>
      </w:r>
      <w:r>
        <w:rPr>
          <w:rFonts w:hint="eastAsia" w:ascii="Times New Roman" w:hAnsi="宋体"/>
          <w:szCs w:val="21"/>
        </w:rPr>
        <w:t>美国医疗器械促进协会标准</w:t>
      </w:r>
      <w:r>
        <w:rPr>
          <w:rFonts w:ascii="Times New Roman" w:hAnsi="Times New Roman"/>
          <w:szCs w:val="21"/>
        </w:rPr>
        <w:t>66</w:t>
      </w:r>
      <w:r>
        <w:rPr>
          <w:rFonts w:hint="eastAsia" w:ascii="Times New Roman" w:hAnsi="宋体"/>
          <w:szCs w:val="21"/>
        </w:rPr>
        <w:t>（参见</w:t>
      </w:r>
      <w:r>
        <w:rPr>
          <w:rFonts w:ascii="Times New Roman" w:hAnsi="Times New Roman"/>
          <w:b/>
          <w:bCs/>
          <w:szCs w:val="21"/>
        </w:rPr>
        <w:t>XII.</w:t>
      </w:r>
      <w:r>
        <w:rPr>
          <w:rFonts w:hint="eastAsia" w:ascii="Times New Roman" w:hAnsi="宋体"/>
          <w:b/>
          <w:szCs w:val="21"/>
        </w:rPr>
        <w:t>参考文献</w:t>
      </w:r>
      <w:r>
        <w:rPr>
          <w:rFonts w:hint="eastAsia" w:ascii="Times New Roman" w:hAnsi="宋体"/>
          <w:szCs w:val="21"/>
        </w:rPr>
        <w:t>）的建议，应该使用标准密度计来测量给定空气体积（</w:t>
      </w:r>
      <w:r>
        <w:rPr>
          <w:rFonts w:ascii="Times New Roman" w:hAnsi="Times New Roman"/>
          <w:szCs w:val="21"/>
        </w:rPr>
        <w:t>25ml</w:t>
      </w:r>
      <w:r>
        <w:rPr>
          <w:rFonts w:hint="eastAsia" w:ascii="Times New Roman" w:hAnsi="宋体"/>
          <w:szCs w:val="21"/>
        </w:rPr>
        <w:t>到</w:t>
      </w:r>
      <w:r>
        <w:rPr>
          <w:rFonts w:ascii="Times New Roman" w:hAnsi="Times New Roman"/>
          <w:szCs w:val="21"/>
        </w:rPr>
        <w:t>300ml</w:t>
      </w:r>
      <w:r>
        <w:rPr>
          <w:rFonts w:hint="eastAsia" w:ascii="Times New Roman" w:hAnsi="宋体"/>
          <w:szCs w:val="21"/>
        </w:rPr>
        <w:t>）通过被测试的指示剂标准区域需要的时间，以测量测试材料的孔隙率。</w:t>
      </w:r>
    </w:p>
    <w:p w14:paraId="68C8A511">
      <w:pPr>
        <w:spacing w:before="240" w:line="360" w:lineRule="auto"/>
        <w:outlineLvl w:val="0"/>
        <w:rPr>
          <w:rFonts w:ascii="Times New Roman" w:hAnsi="Times New Roman"/>
          <w:sz w:val="28"/>
          <w:szCs w:val="28"/>
        </w:rPr>
      </w:pPr>
      <w:bookmarkStart w:id="54" w:name="Biocompatibility"/>
      <w:bookmarkEnd w:id="54"/>
      <w:bookmarkStart w:id="55" w:name="_Toc499728082"/>
      <w:r>
        <w:rPr>
          <w:rFonts w:hint="eastAsia" w:ascii="Times New Roman" w:hAnsi="宋体"/>
          <w:b/>
          <w:bCs/>
          <w:sz w:val="28"/>
          <w:szCs w:val="28"/>
        </w:rPr>
        <w:t>八：生物相容性</w:t>
      </w:r>
      <w:bookmarkEnd w:id="55"/>
    </w:p>
    <w:p w14:paraId="750A880E">
      <w:pPr>
        <w:spacing w:before="240" w:line="360" w:lineRule="auto"/>
        <w:rPr>
          <w:rFonts w:ascii="Times New Roman" w:hAnsi="Times New Roman"/>
          <w:szCs w:val="21"/>
        </w:rPr>
      </w:pPr>
      <w:r>
        <w:rPr>
          <w:rFonts w:hint="eastAsia" w:ascii="Times New Roman" w:hAnsi="宋体"/>
          <w:szCs w:val="21"/>
        </w:rPr>
        <w:t>有些化学指示中的活性成分可能在与外科器械接触的时候渗到外科器械上面。你们应该证明化学指示剂所释放的已知有毒物质含量不足于为使用者造成健康危害或有毒影响，或者证明器械已经灭菌，以解决这一问题。</w:t>
      </w:r>
    </w:p>
    <w:p w14:paraId="2EAD1C2A">
      <w:pPr>
        <w:spacing w:before="240" w:line="360" w:lineRule="auto"/>
        <w:outlineLvl w:val="0"/>
        <w:rPr>
          <w:rFonts w:ascii="Times New Roman" w:hAnsi="Times New Roman"/>
          <w:sz w:val="28"/>
          <w:szCs w:val="28"/>
        </w:rPr>
      </w:pPr>
      <w:bookmarkStart w:id="56" w:name="Endpoint_Stability_for_Chemical_Indicato"/>
      <w:bookmarkEnd w:id="56"/>
      <w:bookmarkStart w:id="57" w:name="_Toc499728083"/>
      <w:r>
        <w:rPr>
          <w:rFonts w:hint="eastAsia" w:ascii="Times New Roman" w:hAnsi="宋体"/>
          <w:b/>
          <w:bCs/>
          <w:sz w:val="28"/>
          <w:szCs w:val="28"/>
        </w:rPr>
        <w:t>九：化学指示剂的终点稳定性</w:t>
      </w:r>
      <w:bookmarkEnd w:id="57"/>
    </w:p>
    <w:p w14:paraId="751A7025">
      <w:pPr>
        <w:spacing w:before="240" w:line="360" w:lineRule="auto"/>
        <w:rPr>
          <w:rFonts w:ascii="Times New Roman" w:hAnsi="Times New Roman"/>
          <w:szCs w:val="21"/>
        </w:rPr>
      </w:pPr>
      <w:r>
        <w:rPr>
          <w:rFonts w:hint="eastAsia" w:ascii="Times New Roman" w:hAnsi="宋体"/>
          <w:szCs w:val="21"/>
        </w:rPr>
        <w:t>你们应该证明化学指示剂在其货架期结束的时候发生特定终点反应的稳定性（例如：颜色稳定性）。</w:t>
      </w:r>
    </w:p>
    <w:p w14:paraId="353732BE">
      <w:pPr>
        <w:spacing w:before="240" w:line="360" w:lineRule="auto"/>
        <w:outlineLvl w:val="0"/>
        <w:rPr>
          <w:rFonts w:ascii="Times New Roman" w:hAnsi="Times New Roman"/>
          <w:sz w:val="28"/>
          <w:szCs w:val="28"/>
        </w:rPr>
      </w:pPr>
      <w:bookmarkStart w:id="58" w:name="Shelf_Life"/>
      <w:bookmarkEnd w:id="58"/>
      <w:bookmarkStart w:id="59" w:name="_Toc499728084"/>
      <w:r>
        <w:rPr>
          <w:rFonts w:hint="eastAsia" w:ascii="Times New Roman" w:hAnsi="宋体"/>
          <w:b/>
          <w:bCs/>
          <w:sz w:val="28"/>
          <w:szCs w:val="28"/>
        </w:rPr>
        <w:t>十：</w:t>
      </w:r>
      <w:bookmarkEnd w:id="59"/>
      <w:r>
        <w:rPr>
          <w:rFonts w:hint="eastAsia" w:ascii="Times New Roman" w:hAnsi="宋体"/>
          <w:b/>
          <w:bCs/>
          <w:sz w:val="28"/>
          <w:szCs w:val="28"/>
        </w:rPr>
        <w:t>货架期</w:t>
      </w:r>
    </w:p>
    <w:p w14:paraId="11B4723D">
      <w:pPr>
        <w:spacing w:before="240" w:line="360" w:lineRule="auto"/>
        <w:rPr>
          <w:rFonts w:ascii="Times New Roman" w:hAnsi="Times New Roman"/>
          <w:szCs w:val="21"/>
        </w:rPr>
      </w:pPr>
      <w:r>
        <w:rPr>
          <w:rFonts w:hint="eastAsia" w:ascii="Times New Roman" w:hAnsi="宋体"/>
          <w:szCs w:val="21"/>
        </w:rPr>
        <w:t>你们应该证明在标注的货架期内一直保持化学指示剂终点反应的规格。对于所有的研究，你们都应该使用具有统计意义的样本量至少测量</w:t>
      </w:r>
      <w:r>
        <w:rPr>
          <w:rFonts w:ascii="Times New Roman" w:hAnsi="Times New Roman"/>
          <w:szCs w:val="21"/>
        </w:rPr>
        <w:t>3</w:t>
      </w:r>
      <w:r>
        <w:rPr>
          <w:rFonts w:hint="eastAsia" w:ascii="Times New Roman" w:hAnsi="宋体"/>
          <w:szCs w:val="21"/>
        </w:rPr>
        <w:t>个批次的化学指示剂。你们应该使用器械标签上介绍的存储条件。</w:t>
      </w:r>
    </w:p>
    <w:p w14:paraId="26F890F7">
      <w:pPr>
        <w:spacing w:before="240" w:line="360" w:lineRule="auto"/>
        <w:rPr>
          <w:rFonts w:ascii="Times New Roman" w:hAnsi="Times New Roman"/>
          <w:szCs w:val="21"/>
        </w:rPr>
      </w:pPr>
      <w:r>
        <w:rPr>
          <w:rFonts w:hint="eastAsia" w:ascii="Times New Roman" w:hAnsi="宋体"/>
          <w:szCs w:val="21"/>
        </w:rPr>
        <w:t>你们应该提供货架期的下列信息。</w:t>
      </w:r>
    </w:p>
    <w:p w14:paraId="727841FC">
      <w:pPr>
        <w:numPr>
          <w:ilvl w:val="0"/>
          <w:numId w:val="7"/>
        </w:numPr>
        <w:spacing w:before="240" w:line="360" w:lineRule="auto"/>
        <w:ind w:left="420" w:leftChars="200"/>
        <w:rPr>
          <w:rFonts w:ascii="Times New Roman" w:hAnsi="Times New Roman"/>
          <w:szCs w:val="21"/>
        </w:rPr>
      </w:pPr>
      <w:r>
        <w:rPr>
          <w:rFonts w:hint="eastAsia" w:ascii="Times New Roman" w:hAnsi="宋体"/>
          <w:szCs w:val="21"/>
        </w:rPr>
        <w:t>化学指示剂标示的货架期</w:t>
      </w:r>
    </w:p>
    <w:p w14:paraId="5E6C8AF0">
      <w:pPr>
        <w:numPr>
          <w:ilvl w:val="0"/>
          <w:numId w:val="7"/>
        </w:numPr>
        <w:spacing w:line="360" w:lineRule="auto"/>
        <w:ind w:left="420" w:leftChars="200"/>
        <w:rPr>
          <w:rFonts w:ascii="Times New Roman" w:hAnsi="Times New Roman"/>
          <w:szCs w:val="21"/>
        </w:rPr>
      </w:pPr>
      <w:r>
        <w:rPr>
          <w:rFonts w:hint="eastAsia" w:ascii="Times New Roman" w:hAnsi="宋体"/>
          <w:szCs w:val="21"/>
        </w:rPr>
        <w:t>每次测试间隔的日期和持续时间，例如：</w:t>
      </w:r>
      <w:r>
        <w:rPr>
          <w:rFonts w:ascii="Times New Roman" w:hAnsi="Times New Roman"/>
          <w:szCs w:val="21"/>
        </w:rPr>
        <w:t>0</w:t>
      </w:r>
      <w:r>
        <w:rPr>
          <w:rFonts w:hint="eastAsia" w:ascii="Times New Roman" w:hAnsi="宋体"/>
          <w:szCs w:val="21"/>
        </w:rPr>
        <w:t>、</w:t>
      </w:r>
      <w:r>
        <w:rPr>
          <w:rFonts w:ascii="Times New Roman" w:hAnsi="Times New Roman"/>
          <w:szCs w:val="21"/>
        </w:rPr>
        <w:t>6</w:t>
      </w:r>
      <w:r>
        <w:rPr>
          <w:rFonts w:hint="eastAsia" w:ascii="Times New Roman" w:hAnsi="宋体"/>
          <w:szCs w:val="21"/>
        </w:rPr>
        <w:t>个月、</w:t>
      </w:r>
      <w:r>
        <w:rPr>
          <w:rFonts w:ascii="Times New Roman" w:hAnsi="Times New Roman"/>
          <w:szCs w:val="21"/>
        </w:rPr>
        <w:t>1</w:t>
      </w:r>
      <w:r>
        <w:rPr>
          <w:rFonts w:hint="eastAsia" w:ascii="Times New Roman" w:hAnsi="宋体"/>
          <w:szCs w:val="21"/>
        </w:rPr>
        <w:t>年、</w:t>
      </w:r>
      <w:r>
        <w:rPr>
          <w:rFonts w:ascii="Times New Roman" w:hAnsi="Times New Roman"/>
          <w:szCs w:val="21"/>
        </w:rPr>
        <w:t>2</w:t>
      </w:r>
      <w:r>
        <w:rPr>
          <w:rFonts w:hint="eastAsia" w:ascii="Times New Roman" w:hAnsi="宋体"/>
          <w:szCs w:val="21"/>
        </w:rPr>
        <w:t>年</w:t>
      </w:r>
    </w:p>
    <w:p w14:paraId="0BEB56FB">
      <w:pPr>
        <w:numPr>
          <w:ilvl w:val="0"/>
          <w:numId w:val="7"/>
        </w:numPr>
        <w:spacing w:line="360" w:lineRule="auto"/>
        <w:ind w:left="420" w:leftChars="200"/>
        <w:rPr>
          <w:rFonts w:ascii="Times New Roman" w:hAnsi="Times New Roman"/>
          <w:szCs w:val="21"/>
        </w:rPr>
      </w:pPr>
      <w:r>
        <w:rPr>
          <w:rFonts w:hint="eastAsia" w:ascii="Times New Roman" w:hAnsi="宋体"/>
          <w:szCs w:val="21"/>
        </w:rPr>
        <w:t>每次测试间隔的阻力计容器数据，证明仍然保持着确定的终点。</w:t>
      </w:r>
    </w:p>
    <w:p w14:paraId="2BFAA126">
      <w:pPr>
        <w:spacing w:before="240" w:line="360" w:lineRule="auto"/>
        <w:rPr>
          <w:rFonts w:ascii="Times New Roman" w:hAnsi="Times New Roman"/>
          <w:szCs w:val="21"/>
        </w:rPr>
      </w:pPr>
      <w:r>
        <w:rPr>
          <w:rFonts w:hint="eastAsia" w:ascii="Times New Roman" w:hAnsi="宋体"/>
          <w:szCs w:val="21"/>
        </w:rPr>
        <w:t>提高温度之后，化学指示剂可能变得不稳定。因此，加速老化研究可能不合适，而且也不推荐。</w:t>
      </w:r>
    </w:p>
    <w:p w14:paraId="52272680">
      <w:pPr>
        <w:spacing w:before="240" w:line="360" w:lineRule="auto"/>
        <w:rPr>
          <w:rFonts w:ascii="Times New Roman" w:hAnsi="Times New Roman"/>
          <w:szCs w:val="21"/>
        </w:rPr>
      </w:pPr>
      <w:r>
        <w:rPr>
          <w:rFonts w:hint="eastAsia" w:ascii="Times New Roman" w:hAnsi="宋体"/>
          <w:szCs w:val="21"/>
        </w:rPr>
        <w:t>作为完整的实时货架期数据的替代，美国食品药品管理局将为器械批准之后你们将会继续进行的实时（例如：</w:t>
      </w:r>
      <w:r>
        <w:rPr>
          <w:rFonts w:ascii="Times New Roman" w:hAnsi="Times New Roman"/>
          <w:szCs w:val="21"/>
        </w:rPr>
        <w:t>2</w:t>
      </w:r>
      <w:r>
        <w:rPr>
          <w:rFonts w:hint="eastAsia" w:ascii="Times New Roman" w:hAnsi="宋体"/>
          <w:szCs w:val="21"/>
        </w:rPr>
        <w:t>年）研究考虑初步的实时货架期数据（例如：</w:t>
      </w:r>
      <w:r>
        <w:rPr>
          <w:rFonts w:ascii="Times New Roman" w:hAnsi="Times New Roman"/>
          <w:szCs w:val="21"/>
        </w:rPr>
        <w:t>6</w:t>
      </w:r>
      <w:r>
        <w:rPr>
          <w:rFonts w:hint="eastAsia" w:ascii="Times New Roman" w:hAnsi="宋体"/>
          <w:szCs w:val="21"/>
        </w:rPr>
        <w:t>个月）以及详细的协议和取样计划。这些研究协议中应该包含上面所列出的货架期信息。我们也建议</w:t>
      </w:r>
      <w:bookmarkStart w:id="60" w:name="bookmark14"/>
      <w:bookmarkEnd w:id="60"/>
      <w:r>
        <w:rPr>
          <w:rFonts w:hint="eastAsia" w:ascii="Times New Roman" w:hAnsi="宋体"/>
          <w:szCs w:val="21"/>
        </w:rPr>
        <w:t>你们在设计历史文件中记录这些结果，作为质量体系要求的一部分（《美国联邦法规》第二十一章第</w:t>
      </w:r>
      <w:r>
        <w:rPr>
          <w:rFonts w:ascii="Times New Roman" w:hAnsi="Times New Roman"/>
          <w:szCs w:val="21"/>
        </w:rPr>
        <w:t>820.30</w:t>
      </w:r>
      <w:r>
        <w:rPr>
          <w:rFonts w:hint="eastAsia" w:ascii="Times New Roman" w:hAnsi="宋体"/>
          <w:szCs w:val="21"/>
        </w:rPr>
        <w:t>条）。</w:t>
      </w:r>
    </w:p>
    <w:p w14:paraId="705247D4">
      <w:pPr>
        <w:spacing w:before="240" w:line="360" w:lineRule="auto"/>
        <w:outlineLvl w:val="0"/>
        <w:rPr>
          <w:rFonts w:ascii="Times New Roman" w:hAnsi="Times New Roman"/>
          <w:sz w:val="28"/>
          <w:szCs w:val="28"/>
        </w:rPr>
      </w:pPr>
      <w:bookmarkStart w:id="61" w:name="Labeling"/>
      <w:bookmarkEnd w:id="61"/>
      <w:bookmarkStart w:id="62" w:name="_Toc499728085"/>
      <w:r>
        <w:rPr>
          <w:rFonts w:hint="eastAsia" w:ascii="Times New Roman" w:hAnsi="宋体"/>
          <w:b/>
          <w:sz w:val="28"/>
          <w:szCs w:val="28"/>
        </w:rPr>
        <w:t>十一：</w:t>
      </w:r>
      <w:r>
        <w:rPr>
          <w:rFonts w:hint="eastAsia" w:ascii="Times New Roman" w:hAnsi="宋体"/>
          <w:b/>
          <w:bCs/>
          <w:sz w:val="28"/>
          <w:szCs w:val="28"/>
        </w:rPr>
        <w:t>标签</w:t>
      </w:r>
      <w:bookmarkEnd w:id="62"/>
    </w:p>
    <w:p w14:paraId="020B9E86">
      <w:pPr>
        <w:spacing w:before="240" w:line="360" w:lineRule="auto"/>
        <w:rPr>
          <w:rFonts w:ascii="Times New Roman" w:hAnsi="Times New Roman"/>
          <w:szCs w:val="21"/>
          <w:vertAlign w:val="superscript"/>
        </w:rPr>
      </w:pPr>
      <w:r>
        <w:rPr>
          <w:rFonts w:hint="eastAsia" w:ascii="Times New Roman" w:hAnsi="宋体"/>
          <w:szCs w:val="21"/>
        </w:rPr>
        <w:t>上市前通知应该包含足够详细的标签，以符合《美国联邦法规》第二十一章第</w:t>
      </w:r>
      <w:r>
        <w:rPr>
          <w:rFonts w:ascii="Times New Roman" w:hAnsi="Times New Roman"/>
          <w:szCs w:val="21"/>
        </w:rPr>
        <w:t>807.87(e)</w:t>
      </w:r>
      <w:r>
        <w:rPr>
          <w:rFonts w:hint="eastAsia" w:ascii="Times New Roman" w:hAnsi="宋体"/>
          <w:szCs w:val="21"/>
        </w:rPr>
        <w:t>条的要求。下列建议的目的是帮助你们准备符合《美国联邦法规》第二十一章第</w:t>
      </w:r>
      <w:r>
        <w:rPr>
          <w:rFonts w:ascii="Times New Roman" w:hAnsi="Times New Roman"/>
          <w:szCs w:val="21"/>
        </w:rPr>
        <w:t>807.87(e)</w:t>
      </w:r>
      <w:r>
        <w:rPr>
          <w:rFonts w:hint="eastAsia" w:ascii="Times New Roman" w:hAnsi="宋体"/>
          <w:szCs w:val="21"/>
        </w:rPr>
        <w:t>条要求的标签。</w:t>
      </w:r>
      <w:r>
        <w:rPr>
          <w:rStyle w:val="16"/>
          <w:rFonts w:ascii="Times New Roman" w:hAnsi="宋体"/>
          <w:szCs w:val="21"/>
        </w:rPr>
        <w:footnoteReference w:id="5"/>
      </w:r>
    </w:p>
    <w:p w14:paraId="04642B1F">
      <w:pPr>
        <w:spacing w:before="240" w:line="360" w:lineRule="auto"/>
        <w:rPr>
          <w:rFonts w:ascii="Times New Roman" w:hAnsi="Times New Roman"/>
          <w:szCs w:val="21"/>
        </w:rPr>
      </w:pPr>
      <w:r>
        <w:rPr>
          <w:rFonts w:hint="eastAsia" w:ascii="Times New Roman" w:hAnsi="宋体"/>
          <w:szCs w:val="21"/>
        </w:rPr>
        <w:t>美国食品药品管理局建议你们在标签中提供：</w:t>
      </w:r>
    </w:p>
    <w:p w14:paraId="5A37DDE4">
      <w:pPr>
        <w:numPr>
          <w:ilvl w:val="0"/>
          <w:numId w:val="8"/>
        </w:numPr>
        <w:spacing w:line="360" w:lineRule="auto"/>
        <w:ind w:left="420" w:leftChars="200"/>
        <w:rPr>
          <w:rFonts w:ascii="Times New Roman" w:hAnsi="Times New Roman"/>
          <w:szCs w:val="21"/>
        </w:rPr>
      </w:pPr>
      <w:r>
        <w:rPr>
          <w:rFonts w:hint="eastAsia" w:ascii="Times New Roman" w:hAnsi="宋体"/>
          <w:szCs w:val="21"/>
        </w:rPr>
        <w:t>性能特点，这样使用者就可以判断你们的指示剂是否符合他们的需求</w:t>
      </w:r>
    </w:p>
    <w:p w14:paraId="79366CE1">
      <w:pPr>
        <w:numPr>
          <w:ilvl w:val="0"/>
          <w:numId w:val="8"/>
        </w:numPr>
        <w:spacing w:line="360" w:lineRule="auto"/>
        <w:ind w:left="420" w:leftChars="200"/>
        <w:rPr>
          <w:rFonts w:ascii="Times New Roman" w:hAnsi="Times New Roman"/>
          <w:szCs w:val="21"/>
        </w:rPr>
      </w:pPr>
      <w:r>
        <w:rPr>
          <w:rFonts w:hint="eastAsia" w:ascii="Times New Roman" w:hAnsi="宋体"/>
          <w:szCs w:val="21"/>
        </w:rPr>
        <w:t>任何已知的会对指示剂的性能造成影响的干扰物质或条件</w:t>
      </w:r>
    </w:p>
    <w:p w14:paraId="7FA3404F">
      <w:pPr>
        <w:numPr>
          <w:ilvl w:val="0"/>
          <w:numId w:val="8"/>
        </w:numPr>
        <w:spacing w:line="360" w:lineRule="auto"/>
        <w:ind w:left="420" w:leftChars="200"/>
        <w:rPr>
          <w:rFonts w:ascii="Times New Roman" w:hAnsi="Times New Roman"/>
          <w:szCs w:val="21"/>
        </w:rPr>
      </w:pPr>
      <w:r>
        <w:rPr>
          <w:rFonts w:hint="eastAsia" w:ascii="Times New Roman" w:hAnsi="宋体"/>
          <w:szCs w:val="21"/>
        </w:rPr>
        <w:t>设计发生的物理变化的清楚介绍（如果使用），包括变化前后指示剂的介绍</w:t>
      </w:r>
    </w:p>
    <w:p w14:paraId="7CEFBD6E">
      <w:pPr>
        <w:numPr>
          <w:ilvl w:val="0"/>
          <w:numId w:val="8"/>
        </w:numPr>
        <w:spacing w:line="360" w:lineRule="auto"/>
        <w:ind w:left="420" w:leftChars="200"/>
        <w:rPr>
          <w:rFonts w:ascii="Times New Roman" w:hAnsi="Times New Roman"/>
          <w:szCs w:val="21"/>
        </w:rPr>
      </w:pPr>
      <w:r>
        <w:rPr>
          <w:rFonts w:hint="eastAsia" w:ascii="Times New Roman" w:hAnsi="宋体"/>
          <w:szCs w:val="21"/>
        </w:rPr>
        <w:t>开始以及终点外观之间的任何中间变化</w:t>
      </w:r>
    </w:p>
    <w:p w14:paraId="6B6A58F9">
      <w:pPr>
        <w:numPr>
          <w:ilvl w:val="0"/>
          <w:numId w:val="8"/>
        </w:numPr>
        <w:spacing w:line="360" w:lineRule="auto"/>
        <w:ind w:left="420" w:leftChars="200"/>
        <w:rPr>
          <w:rFonts w:ascii="Times New Roman" w:hAnsi="Times New Roman"/>
          <w:szCs w:val="21"/>
        </w:rPr>
      </w:pPr>
      <w:r>
        <w:rPr>
          <w:rFonts w:hint="eastAsia" w:ascii="Times New Roman" w:hAnsi="宋体"/>
          <w:szCs w:val="21"/>
        </w:rPr>
        <w:t>解释终点结果的充分说明，或者提供一种机制，当终点不明显的时候，使用着可以通过该机制来判定明确定义的终点</w:t>
      </w:r>
    </w:p>
    <w:p w14:paraId="4BB3E56A">
      <w:pPr>
        <w:numPr>
          <w:ilvl w:val="0"/>
          <w:numId w:val="8"/>
        </w:numPr>
        <w:spacing w:line="360" w:lineRule="auto"/>
        <w:ind w:left="420" w:leftChars="200"/>
        <w:rPr>
          <w:rFonts w:ascii="Times New Roman" w:hAnsi="Times New Roman"/>
          <w:szCs w:val="21"/>
        </w:rPr>
      </w:pPr>
      <w:r>
        <w:rPr>
          <w:rFonts w:hint="eastAsia" w:ascii="Times New Roman" w:hAnsi="宋体"/>
          <w:szCs w:val="21"/>
        </w:rPr>
        <w:t>存储条件</w:t>
      </w:r>
    </w:p>
    <w:p w14:paraId="33E3D0D1">
      <w:pPr>
        <w:numPr>
          <w:ilvl w:val="0"/>
          <w:numId w:val="8"/>
        </w:numPr>
        <w:spacing w:line="360" w:lineRule="auto"/>
        <w:ind w:left="420" w:leftChars="200"/>
        <w:rPr>
          <w:rFonts w:ascii="Times New Roman" w:hAnsi="Times New Roman"/>
          <w:szCs w:val="21"/>
        </w:rPr>
      </w:pPr>
      <w:r>
        <w:rPr>
          <w:rFonts w:hint="eastAsia" w:ascii="Times New Roman" w:hAnsi="宋体"/>
          <w:szCs w:val="21"/>
        </w:rPr>
        <w:t>未使用过的指示剂在特定存储条件下的保质期</w:t>
      </w:r>
    </w:p>
    <w:p w14:paraId="67CEB138">
      <w:pPr>
        <w:numPr>
          <w:ilvl w:val="0"/>
          <w:numId w:val="8"/>
        </w:numPr>
        <w:spacing w:line="360" w:lineRule="auto"/>
        <w:ind w:left="420" w:leftChars="200"/>
        <w:rPr>
          <w:rFonts w:ascii="Times New Roman" w:hAnsi="Times New Roman"/>
          <w:szCs w:val="21"/>
        </w:rPr>
      </w:pPr>
      <w:r>
        <w:rPr>
          <w:rFonts w:hint="eastAsia" w:ascii="Times New Roman" w:hAnsi="宋体"/>
          <w:szCs w:val="21"/>
        </w:rPr>
        <w:t>使用过程中需要的安全预防措施</w:t>
      </w:r>
    </w:p>
    <w:p w14:paraId="5AAAC377">
      <w:pPr>
        <w:numPr>
          <w:ilvl w:val="0"/>
          <w:numId w:val="8"/>
        </w:numPr>
        <w:spacing w:line="360" w:lineRule="auto"/>
        <w:ind w:left="420" w:leftChars="200"/>
        <w:rPr>
          <w:rFonts w:ascii="Times New Roman" w:hAnsi="Times New Roman"/>
          <w:szCs w:val="21"/>
        </w:rPr>
      </w:pPr>
      <w:r>
        <w:rPr>
          <w:rFonts w:hint="eastAsia" w:ascii="Times New Roman" w:hAnsi="宋体"/>
          <w:szCs w:val="21"/>
        </w:rPr>
        <w:t>终点颜色反应的稳定性</w:t>
      </w:r>
    </w:p>
    <w:p w14:paraId="6C7A5348">
      <w:pPr>
        <w:numPr>
          <w:ilvl w:val="0"/>
          <w:numId w:val="8"/>
        </w:numPr>
        <w:spacing w:line="360" w:lineRule="auto"/>
        <w:ind w:left="420" w:leftChars="200"/>
        <w:rPr>
          <w:rFonts w:ascii="Times New Roman" w:hAnsi="Times New Roman"/>
          <w:szCs w:val="21"/>
        </w:rPr>
      </w:pPr>
      <w:r>
        <w:rPr>
          <w:rFonts w:hint="eastAsia" w:ascii="Times New Roman" w:hAnsi="宋体"/>
          <w:szCs w:val="21"/>
        </w:rPr>
        <w:t>影响变化所需要的最小暴露参数（仅限化学积分器）</w:t>
      </w:r>
    </w:p>
    <w:p w14:paraId="624B9C29">
      <w:pPr>
        <w:spacing w:before="240" w:line="360" w:lineRule="auto"/>
        <w:rPr>
          <w:rFonts w:ascii="Times New Roman" w:hAnsi="Times New Roman"/>
          <w:szCs w:val="21"/>
        </w:rPr>
      </w:pPr>
      <w:r>
        <w:rPr>
          <w:rFonts w:hint="eastAsia" w:ascii="Times New Roman" w:hAnsi="宋体"/>
          <w:szCs w:val="21"/>
        </w:rPr>
        <w:t>除了上述内容，</w:t>
      </w:r>
      <w:r>
        <w:rPr>
          <w:rFonts w:ascii="Times New Roman" w:hAnsi="Times New Roman"/>
          <w:szCs w:val="21"/>
        </w:rPr>
        <w:t>Bowie Dick</w:t>
      </w:r>
      <w:r>
        <w:rPr>
          <w:rFonts w:hint="eastAsia" w:ascii="Times New Roman" w:hAnsi="宋体"/>
          <w:szCs w:val="21"/>
        </w:rPr>
        <w:t>测试包的标签还应该包含下列内容：</w:t>
      </w:r>
    </w:p>
    <w:p w14:paraId="4D5500A1">
      <w:pPr>
        <w:numPr>
          <w:ilvl w:val="0"/>
          <w:numId w:val="8"/>
        </w:numPr>
        <w:spacing w:line="360" w:lineRule="auto"/>
        <w:ind w:left="420" w:leftChars="200"/>
        <w:rPr>
          <w:rFonts w:ascii="Times New Roman" w:hAnsi="Times New Roman"/>
          <w:szCs w:val="21"/>
        </w:rPr>
      </w:pPr>
      <w:r>
        <w:rPr>
          <w:rFonts w:hint="eastAsia" w:ascii="Times New Roman" w:hAnsi="宋体"/>
          <w:szCs w:val="21"/>
        </w:rPr>
        <w:t>表明该器械用于测定排气的声明</w:t>
      </w:r>
    </w:p>
    <w:p w14:paraId="336295FC">
      <w:pPr>
        <w:numPr>
          <w:ilvl w:val="0"/>
          <w:numId w:val="8"/>
        </w:numPr>
        <w:spacing w:line="360" w:lineRule="auto"/>
        <w:ind w:left="420" w:leftChars="200"/>
        <w:rPr>
          <w:rFonts w:ascii="Times New Roman" w:hAnsi="宋体"/>
          <w:szCs w:val="21"/>
        </w:rPr>
      </w:pPr>
      <w:r>
        <w:rPr>
          <w:rFonts w:ascii="Times New Roman" w:hAnsi="Times New Roman"/>
          <w:szCs w:val="21"/>
        </w:rPr>
        <w:br w:type="page"/>
      </w:r>
      <w:r>
        <w:rPr>
          <w:rFonts w:hint="eastAsia" w:ascii="Times New Roman" w:hAnsi="宋体"/>
          <w:szCs w:val="21"/>
        </w:rPr>
        <w:t>表明延长制造商所建议的</w:t>
      </w:r>
      <w:r>
        <w:rPr>
          <w:rFonts w:ascii="Times New Roman" w:hAnsi="宋体"/>
          <w:szCs w:val="21"/>
        </w:rPr>
        <w:t xml:space="preserve"> Bowie Dick</w:t>
      </w:r>
      <w:r>
        <w:rPr>
          <w:rFonts w:hint="eastAsia" w:ascii="Times New Roman" w:hAnsi="宋体"/>
          <w:szCs w:val="21"/>
        </w:rPr>
        <w:t>测试时间可能会由于滞留气体的扩散而导致错误的终点发展的警告信息</w:t>
      </w:r>
    </w:p>
    <w:p w14:paraId="11F8D7ED">
      <w:pPr>
        <w:numPr>
          <w:ilvl w:val="0"/>
          <w:numId w:val="8"/>
        </w:numPr>
        <w:spacing w:line="360" w:lineRule="auto"/>
        <w:ind w:left="420" w:leftChars="200"/>
        <w:rPr>
          <w:rFonts w:ascii="Times New Roman" w:hAnsi="宋体"/>
          <w:szCs w:val="21"/>
        </w:rPr>
      </w:pPr>
      <w:r>
        <w:rPr>
          <w:rFonts w:hint="eastAsia" w:ascii="Times New Roman" w:hAnsi="宋体"/>
          <w:szCs w:val="21"/>
        </w:rPr>
        <w:t>表明</w:t>
      </w:r>
      <w:r>
        <w:rPr>
          <w:rFonts w:ascii="Times New Roman" w:hAnsi="宋体"/>
          <w:szCs w:val="21"/>
        </w:rPr>
        <w:t>Bowie Dick</w:t>
      </w:r>
      <w:r>
        <w:rPr>
          <w:rFonts w:hint="eastAsia" w:ascii="Times New Roman" w:hAnsi="宋体"/>
          <w:szCs w:val="21"/>
        </w:rPr>
        <w:t>测试应该在空的舱室内进行的警告信息</w:t>
      </w:r>
    </w:p>
    <w:p w14:paraId="15AB2CE7">
      <w:pPr>
        <w:spacing w:before="240" w:line="360" w:lineRule="auto"/>
        <w:outlineLvl w:val="0"/>
        <w:rPr>
          <w:rFonts w:ascii="Times New Roman" w:hAnsi="Times New Roman"/>
          <w:sz w:val="28"/>
          <w:szCs w:val="28"/>
        </w:rPr>
      </w:pPr>
      <w:bookmarkStart w:id="63" w:name="References"/>
      <w:bookmarkEnd w:id="63"/>
      <w:bookmarkStart w:id="64" w:name="bookmark16"/>
      <w:bookmarkEnd w:id="64"/>
      <w:r>
        <w:rPr>
          <w:rFonts w:ascii="Times New Roman" w:hAnsi="Times New Roman"/>
          <w:szCs w:val="21"/>
        </w:rPr>
        <w:br w:type="page"/>
      </w:r>
      <w:bookmarkStart w:id="65" w:name="_Toc499728086"/>
      <w:r>
        <w:rPr>
          <w:rFonts w:hint="eastAsia" w:ascii="Times New Roman" w:hAnsi="宋体"/>
          <w:b/>
          <w:sz w:val="28"/>
          <w:szCs w:val="28"/>
        </w:rPr>
        <w:t>十二：</w:t>
      </w:r>
      <w:r>
        <w:rPr>
          <w:rFonts w:hint="eastAsia" w:ascii="Times New Roman" w:hAnsi="宋体"/>
          <w:b/>
          <w:bCs/>
          <w:sz w:val="28"/>
          <w:szCs w:val="28"/>
        </w:rPr>
        <w:t>参考文献</w:t>
      </w:r>
      <w:bookmarkEnd w:id="65"/>
    </w:p>
    <w:p w14:paraId="3BC00E7B">
      <w:pPr>
        <w:spacing w:before="240" w:line="360" w:lineRule="auto"/>
        <w:rPr>
          <w:rFonts w:ascii="Times New Roman" w:hAnsi="Times New Roman"/>
          <w:szCs w:val="21"/>
        </w:rPr>
      </w:pPr>
      <w:r>
        <w:rPr>
          <w:rFonts w:hint="eastAsia" w:ascii="Times New Roman" w:hAnsi="宋体"/>
          <w:szCs w:val="21"/>
        </w:rPr>
        <w:t>美国国家标准学会</w:t>
      </w:r>
      <w:r>
        <w:rPr>
          <w:rFonts w:ascii="Times New Roman" w:hAnsi="Times New Roman"/>
          <w:szCs w:val="21"/>
        </w:rPr>
        <w:t>/</w:t>
      </w:r>
      <w:r>
        <w:rPr>
          <w:rFonts w:hint="eastAsia" w:ascii="Times New Roman" w:hAnsi="宋体"/>
          <w:szCs w:val="21"/>
        </w:rPr>
        <w:t>美国医疗器械促进协会标准</w:t>
      </w:r>
      <w:r>
        <w:rPr>
          <w:rFonts w:ascii="Times New Roman" w:hAnsi="Times New Roman"/>
          <w:szCs w:val="21"/>
        </w:rPr>
        <w:t>41:1992</w:t>
      </w:r>
      <w:r>
        <w:rPr>
          <w:rFonts w:hint="eastAsia" w:ascii="Times New Roman" w:hAnsi="宋体"/>
          <w:szCs w:val="21"/>
        </w:rPr>
        <w:t>，医疗实践管理规范：环氧乙烷灭菌与无菌保证</w:t>
      </w:r>
    </w:p>
    <w:p w14:paraId="7D3B0463">
      <w:pPr>
        <w:spacing w:before="240" w:line="360" w:lineRule="auto"/>
        <w:rPr>
          <w:rFonts w:ascii="Times New Roman" w:hAnsi="Times New Roman"/>
          <w:szCs w:val="21"/>
        </w:rPr>
      </w:pPr>
      <w:bookmarkStart w:id="66" w:name="bookmark17"/>
      <w:bookmarkEnd w:id="66"/>
      <w:bookmarkStart w:id="67" w:name="ANSI_AAMI_ST_44_2002__Resistometers_for_"/>
      <w:bookmarkEnd w:id="67"/>
      <w:r>
        <w:rPr>
          <w:rFonts w:hint="eastAsia" w:ascii="Times New Roman" w:hAnsi="宋体"/>
          <w:szCs w:val="21"/>
        </w:rPr>
        <w:t>美国国家标准学会</w:t>
      </w:r>
      <w:r>
        <w:rPr>
          <w:rFonts w:ascii="Times New Roman" w:hAnsi="Times New Roman"/>
          <w:szCs w:val="21"/>
        </w:rPr>
        <w:t>/</w:t>
      </w:r>
      <w:r>
        <w:rPr>
          <w:rFonts w:hint="eastAsia" w:ascii="Times New Roman" w:hAnsi="宋体"/>
          <w:szCs w:val="21"/>
        </w:rPr>
        <w:t>美国医疗器械促进协会标准</w:t>
      </w:r>
      <w:r>
        <w:rPr>
          <w:rFonts w:ascii="Times New Roman" w:hAnsi="Times New Roman"/>
          <w:szCs w:val="21"/>
        </w:rPr>
        <w:t>44:2002</w:t>
      </w:r>
      <w:r>
        <w:rPr>
          <w:rFonts w:hint="eastAsia" w:ascii="Times New Roman" w:hAnsi="宋体"/>
          <w:szCs w:val="21"/>
        </w:rPr>
        <w:t>，表征生物和化学指示剂性能的阻力计</w:t>
      </w:r>
    </w:p>
    <w:p w14:paraId="45E29292">
      <w:pPr>
        <w:spacing w:before="240" w:line="360" w:lineRule="auto"/>
        <w:rPr>
          <w:rFonts w:ascii="Times New Roman" w:hAnsi="Times New Roman"/>
          <w:szCs w:val="21"/>
        </w:rPr>
      </w:pPr>
      <w:r>
        <w:rPr>
          <w:rFonts w:hint="eastAsia" w:ascii="Times New Roman" w:hAnsi="宋体"/>
          <w:szCs w:val="21"/>
        </w:rPr>
        <w:t>美国国家标准学会</w:t>
      </w:r>
      <w:r>
        <w:rPr>
          <w:rFonts w:ascii="Times New Roman" w:hAnsi="Times New Roman"/>
          <w:szCs w:val="21"/>
        </w:rPr>
        <w:t>/</w:t>
      </w:r>
      <w:r>
        <w:rPr>
          <w:rFonts w:hint="eastAsia" w:ascii="Times New Roman" w:hAnsi="宋体"/>
          <w:szCs w:val="21"/>
        </w:rPr>
        <w:t>美国医疗器械促进协会标准</w:t>
      </w:r>
      <w:r>
        <w:rPr>
          <w:rFonts w:ascii="Times New Roman" w:hAnsi="Times New Roman"/>
          <w:szCs w:val="21"/>
        </w:rPr>
        <w:t>46:1993</w:t>
      </w:r>
      <w:r>
        <w:rPr>
          <w:rFonts w:hint="eastAsia" w:ascii="Times New Roman" w:hAnsi="宋体"/>
          <w:szCs w:val="21"/>
        </w:rPr>
        <w:t>，医疗实践管理规范：环氧乙烷灭菌与无菌保证</w:t>
      </w:r>
    </w:p>
    <w:p w14:paraId="0CFD5239">
      <w:pPr>
        <w:spacing w:before="240" w:line="360" w:lineRule="auto"/>
        <w:rPr>
          <w:rFonts w:ascii="Times New Roman" w:hAnsi="Times New Roman"/>
          <w:szCs w:val="21"/>
        </w:rPr>
      </w:pPr>
      <w:r>
        <w:rPr>
          <w:rFonts w:hint="eastAsia" w:ascii="Times New Roman" w:hAnsi="宋体"/>
          <w:szCs w:val="21"/>
        </w:rPr>
        <w:t>美国国家标准学会</w:t>
      </w:r>
      <w:r>
        <w:rPr>
          <w:rFonts w:ascii="Times New Roman" w:hAnsi="Times New Roman"/>
          <w:szCs w:val="21"/>
        </w:rPr>
        <w:t>/</w:t>
      </w:r>
      <w:r>
        <w:rPr>
          <w:rFonts w:hint="eastAsia" w:ascii="Times New Roman" w:hAnsi="宋体"/>
          <w:szCs w:val="21"/>
        </w:rPr>
        <w:t>美国医疗器械促进协会标准</w:t>
      </w:r>
      <w:r>
        <w:rPr>
          <w:rFonts w:ascii="Times New Roman" w:hAnsi="Times New Roman"/>
          <w:szCs w:val="21"/>
        </w:rPr>
        <w:t xml:space="preserve"> 60:1996</w:t>
      </w:r>
      <w:r>
        <w:rPr>
          <w:rFonts w:hint="eastAsia" w:ascii="Times New Roman" w:hAnsi="宋体"/>
          <w:szCs w:val="21"/>
        </w:rPr>
        <w:t>，保健品灭菌</w:t>
      </w:r>
      <w:r>
        <w:rPr>
          <w:rFonts w:ascii="Times New Roman" w:hAnsi="Times New Roman"/>
          <w:szCs w:val="21"/>
        </w:rPr>
        <w:t>-</w:t>
      </w:r>
      <w:r>
        <w:rPr>
          <w:rFonts w:hint="eastAsia" w:ascii="Times New Roman" w:hAnsi="宋体"/>
          <w:szCs w:val="21"/>
        </w:rPr>
        <w:t>化学指示剂，第一部分：总体要求</w:t>
      </w:r>
    </w:p>
    <w:p w14:paraId="4FFB8749">
      <w:pPr>
        <w:spacing w:before="240" w:line="360" w:lineRule="auto"/>
        <w:rPr>
          <w:rFonts w:ascii="Times New Roman" w:hAnsi="Times New Roman"/>
          <w:szCs w:val="21"/>
        </w:rPr>
      </w:pPr>
      <w:r>
        <w:rPr>
          <w:rFonts w:hint="eastAsia" w:ascii="Times New Roman" w:hAnsi="宋体"/>
          <w:szCs w:val="21"/>
        </w:rPr>
        <w:t>美国国家标准学会</w:t>
      </w:r>
      <w:r>
        <w:rPr>
          <w:rFonts w:ascii="Times New Roman" w:hAnsi="Times New Roman"/>
          <w:szCs w:val="21"/>
        </w:rPr>
        <w:t>/</w:t>
      </w:r>
      <w:r>
        <w:rPr>
          <w:rFonts w:hint="eastAsia" w:ascii="Times New Roman" w:hAnsi="宋体"/>
          <w:szCs w:val="21"/>
        </w:rPr>
        <w:t>美国医疗器械促进协会标准</w:t>
      </w:r>
      <w:r>
        <w:rPr>
          <w:rFonts w:ascii="Times New Roman" w:hAnsi="Times New Roman"/>
          <w:szCs w:val="21"/>
        </w:rPr>
        <w:t xml:space="preserve"> 66:1999</w:t>
      </w:r>
      <w:r>
        <w:rPr>
          <w:rFonts w:hint="eastAsia" w:ascii="Times New Roman" w:hAnsi="宋体"/>
          <w:szCs w:val="21"/>
        </w:rPr>
        <w:t>，保健品灭菌</w:t>
      </w:r>
      <w:r>
        <w:rPr>
          <w:rFonts w:ascii="Times New Roman" w:hAnsi="Times New Roman"/>
          <w:szCs w:val="21"/>
        </w:rPr>
        <w:t>-</w:t>
      </w:r>
      <w:r>
        <w:rPr>
          <w:rFonts w:hint="eastAsia" w:ascii="Times New Roman" w:hAnsi="宋体"/>
          <w:szCs w:val="21"/>
        </w:rPr>
        <w:t>化学指示剂</w:t>
      </w:r>
      <w:r>
        <w:rPr>
          <w:rFonts w:ascii="Times New Roman" w:hAnsi="Times New Roman"/>
          <w:szCs w:val="21"/>
        </w:rPr>
        <w:t>-</w:t>
      </w:r>
      <w:r>
        <w:rPr>
          <w:rFonts w:hint="eastAsia" w:ascii="Times New Roman" w:hAnsi="宋体"/>
          <w:szCs w:val="21"/>
        </w:rPr>
        <w:t>第二部分：排气测试二类指示剂</w:t>
      </w:r>
    </w:p>
    <w:p w14:paraId="50C606EC">
      <w:pPr>
        <w:spacing w:before="240" w:line="360" w:lineRule="auto"/>
        <w:rPr>
          <w:rFonts w:ascii="Times New Roman" w:hAnsi="Times New Roman"/>
          <w:szCs w:val="21"/>
        </w:rPr>
      </w:pPr>
      <w:r>
        <w:rPr>
          <w:rFonts w:hint="eastAsia" w:ascii="Times New Roman" w:hAnsi="宋体"/>
          <w:szCs w:val="21"/>
        </w:rPr>
        <w:t>美国国家标准学会</w:t>
      </w:r>
      <w:r>
        <w:rPr>
          <w:rFonts w:ascii="Times New Roman" w:hAnsi="Times New Roman"/>
          <w:szCs w:val="21"/>
        </w:rPr>
        <w:t>/</w:t>
      </w:r>
      <w:r>
        <w:rPr>
          <w:rFonts w:hint="eastAsia" w:ascii="Times New Roman" w:hAnsi="宋体"/>
          <w:szCs w:val="21"/>
        </w:rPr>
        <w:t>美国医疗器械促进协会标准</w:t>
      </w:r>
      <w:r>
        <w:rPr>
          <w:rFonts w:ascii="Times New Roman" w:hAnsi="Times New Roman"/>
          <w:szCs w:val="21"/>
        </w:rPr>
        <w:t>/</w:t>
      </w:r>
      <w:r>
        <w:rPr>
          <w:rFonts w:hint="eastAsia" w:ascii="Times New Roman" w:hAnsi="宋体"/>
          <w:szCs w:val="21"/>
        </w:rPr>
        <w:t>国际标准化组织</w:t>
      </w:r>
      <w:r>
        <w:rPr>
          <w:rFonts w:ascii="Times New Roman" w:hAnsi="Times New Roman"/>
          <w:szCs w:val="21"/>
        </w:rPr>
        <w:t>TIR11139:2002</w:t>
      </w:r>
      <w:r>
        <w:rPr>
          <w:rFonts w:hint="eastAsia" w:ascii="Times New Roman" w:hAnsi="宋体"/>
          <w:szCs w:val="21"/>
        </w:rPr>
        <w:t>，保健品灭菌</w:t>
      </w:r>
      <w:r>
        <w:rPr>
          <w:rFonts w:ascii="Times New Roman" w:hAnsi="Times New Roman"/>
          <w:szCs w:val="21"/>
        </w:rPr>
        <w:t>-</w:t>
      </w:r>
      <w:r>
        <w:rPr>
          <w:rFonts w:hint="eastAsia" w:ascii="Times New Roman" w:hAnsi="宋体"/>
          <w:szCs w:val="21"/>
        </w:rPr>
        <w:t>词汇</w:t>
      </w:r>
    </w:p>
    <w:p w14:paraId="08E72A1B">
      <w:pPr>
        <w:spacing w:before="240" w:line="360" w:lineRule="auto"/>
        <w:rPr>
          <w:rFonts w:ascii="Times New Roman" w:hAnsi="Times New Roman"/>
          <w:szCs w:val="21"/>
        </w:rPr>
      </w:pPr>
      <w:r>
        <w:rPr>
          <w:rFonts w:hint="eastAsia" w:ascii="Times New Roman" w:hAnsi="宋体"/>
          <w:szCs w:val="21"/>
        </w:rPr>
        <w:t>美国食品药品管理局：</w:t>
      </w:r>
      <w:r>
        <w:rPr>
          <w:rFonts w:ascii="Times New Roman" w:hAnsi="Times New Roman"/>
          <w:szCs w:val="21"/>
        </w:rPr>
        <w:t>“</w:t>
      </w:r>
      <w:r>
        <w:rPr>
          <w:rFonts w:hint="eastAsia" w:ascii="Times New Roman" w:hAnsi="宋体"/>
          <w:szCs w:val="21"/>
        </w:rPr>
        <w:t>标签：医疗器械管理要求</w:t>
      </w:r>
      <w:r>
        <w:rPr>
          <w:rFonts w:ascii="Times New Roman" w:hAnsi="Times New Roman"/>
          <w:szCs w:val="21"/>
        </w:rPr>
        <w:t>”</w:t>
      </w:r>
      <w:r>
        <w:rPr>
          <w:rFonts w:hint="eastAsia" w:ascii="Times New Roman" w:hAnsi="宋体"/>
          <w:szCs w:val="21"/>
        </w:rPr>
        <w:t>（美国卫生及公共服务部出版，美国食品药品管理局</w:t>
      </w:r>
      <w:r>
        <w:rPr>
          <w:rFonts w:ascii="Times New Roman" w:hAnsi="Times New Roman"/>
          <w:szCs w:val="21"/>
        </w:rPr>
        <w:t>89-4203</w:t>
      </w:r>
      <w:r>
        <w:rPr>
          <w:rFonts w:hint="eastAsia" w:ascii="Times New Roman" w:hAnsi="宋体"/>
          <w:szCs w:val="21"/>
        </w:rPr>
        <w:t>）马里兰州罗克维尔市企业大道</w:t>
      </w:r>
      <w:r>
        <w:rPr>
          <w:rFonts w:ascii="Times New Roman" w:hAnsi="Times New Roman"/>
          <w:szCs w:val="21"/>
        </w:rPr>
        <w:t>9200</w:t>
      </w:r>
      <w:r>
        <w:rPr>
          <w:rFonts w:hint="eastAsia" w:ascii="Times New Roman" w:hAnsi="宋体"/>
          <w:szCs w:val="21"/>
        </w:rPr>
        <w:t>号美国食品药品管理局，邮编</w:t>
      </w:r>
      <w:r>
        <w:rPr>
          <w:rFonts w:ascii="Times New Roman" w:hAnsi="Times New Roman"/>
          <w:szCs w:val="21"/>
        </w:rPr>
        <w:t>20850</w:t>
      </w:r>
      <w:r>
        <w:rPr>
          <w:rFonts w:hint="eastAsia" w:ascii="Times New Roman" w:hAnsi="宋体"/>
          <w:szCs w:val="21"/>
        </w:rPr>
        <w:t>，</w:t>
      </w:r>
      <w:r>
        <w:rPr>
          <w:rFonts w:ascii="Times New Roman" w:hAnsi="Times New Roman"/>
          <w:szCs w:val="21"/>
        </w:rPr>
        <w:t>1989</w:t>
      </w:r>
      <w:r>
        <w:rPr>
          <w:rFonts w:hint="eastAsia" w:ascii="Times New Roman" w:hAnsi="宋体"/>
          <w:szCs w:val="21"/>
        </w:rPr>
        <w:t>年（</w:t>
      </w:r>
      <w:r>
        <w:fldChar w:fldCharType="begin"/>
      </w:r>
      <w:r>
        <w:instrText xml:space="preserve"> HYPERLINK "http://www.fda.gov/cdrh/dsma/470.pdf" </w:instrText>
      </w:r>
      <w:r>
        <w:fldChar w:fldCharType="separate"/>
      </w:r>
      <w:r>
        <w:rPr>
          <w:rStyle w:val="14"/>
          <w:rFonts w:ascii="Times New Roman" w:hAnsi="Times New Roman"/>
          <w:szCs w:val="21"/>
        </w:rPr>
        <w:t>http://www.fda.gov/cdrh/dsma/470.pdf</w:t>
      </w:r>
      <w:r>
        <w:rPr>
          <w:rStyle w:val="14"/>
          <w:rFonts w:ascii="Times New Roman" w:hAnsi="Times New Roman"/>
          <w:szCs w:val="21"/>
        </w:rPr>
        <w:fldChar w:fldCharType="end"/>
      </w:r>
      <w:r>
        <w:rPr>
          <w:rFonts w:hint="eastAsia" w:ascii="Times New Roman" w:hAnsi="宋体"/>
          <w:szCs w:val="21"/>
        </w:rPr>
        <w:t>）。</w:t>
      </w:r>
    </w:p>
    <w:p w14:paraId="61FFA77B">
      <w:pPr>
        <w:spacing w:before="240" w:line="360" w:lineRule="auto"/>
        <w:outlineLvl w:val="0"/>
        <w:rPr>
          <w:rFonts w:ascii="Times New Roman" w:hAnsi="Times New Roman"/>
          <w:sz w:val="28"/>
          <w:szCs w:val="28"/>
        </w:rPr>
      </w:pPr>
      <w:bookmarkStart w:id="68" w:name="bookmark18"/>
      <w:bookmarkEnd w:id="68"/>
      <w:bookmarkStart w:id="69" w:name="Chemical_Indicator_510_k__Checklist"/>
      <w:bookmarkEnd w:id="69"/>
      <w:r>
        <w:rPr>
          <w:rFonts w:ascii="Times New Roman" w:hAnsi="Times New Roman"/>
          <w:b/>
          <w:bCs/>
          <w:szCs w:val="21"/>
        </w:rPr>
        <w:br w:type="page"/>
      </w:r>
      <w:bookmarkStart w:id="70" w:name="_Toc499728087"/>
      <w:r>
        <w:rPr>
          <w:rFonts w:hint="eastAsia" w:ascii="Times New Roman" w:hAnsi="宋体"/>
          <w:b/>
          <w:bCs/>
          <w:sz w:val="28"/>
          <w:szCs w:val="28"/>
        </w:rPr>
        <w:t>十三：化学指示剂</w:t>
      </w:r>
      <w:r>
        <w:rPr>
          <w:rFonts w:ascii="Times New Roman" w:hAnsi="Times New Roman"/>
          <w:b/>
          <w:bCs/>
          <w:sz w:val="28"/>
          <w:szCs w:val="28"/>
        </w:rPr>
        <w:t>510(k)</w:t>
      </w:r>
      <w:r>
        <w:rPr>
          <w:rFonts w:hint="eastAsia" w:ascii="Times New Roman" w:hAnsi="宋体"/>
          <w:b/>
          <w:bCs/>
          <w:sz w:val="28"/>
          <w:szCs w:val="28"/>
        </w:rPr>
        <w:t>清单</w:t>
      </w:r>
      <w:bookmarkEnd w:id="70"/>
    </w:p>
    <w:tbl>
      <w:tblPr>
        <w:tblStyle w:val="12"/>
        <w:tblW w:w="5000" w:type="pct"/>
        <w:tblInd w:w="0" w:type="dxa"/>
        <w:tblLayout w:type="autofit"/>
        <w:tblCellMar>
          <w:top w:w="0" w:type="dxa"/>
          <w:left w:w="0" w:type="dxa"/>
          <w:bottom w:w="0" w:type="dxa"/>
          <w:right w:w="0" w:type="dxa"/>
        </w:tblCellMar>
      </w:tblPr>
      <w:tblGrid>
        <w:gridCol w:w="556"/>
        <w:gridCol w:w="476"/>
        <w:gridCol w:w="636"/>
        <w:gridCol w:w="6808"/>
      </w:tblGrid>
      <w:tr w14:paraId="52BA9CFB">
        <w:tblPrEx>
          <w:tblCellMar>
            <w:top w:w="0" w:type="dxa"/>
            <w:left w:w="0" w:type="dxa"/>
            <w:bottom w:w="0" w:type="dxa"/>
            <w:right w:w="0" w:type="dxa"/>
          </w:tblCellMar>
        </w:tblPrEx>
        <w:tc>
          <w:tcPr>
            <w:tcW w:w="328"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7D37AA60">
            <w:pPr>
              <w:spacing w:line="264" w:lineRule="auto"/>
              <w:rPr>
                <w:rFonts w:ascii="Times New Roman" w:hAnsi="Times New Roman"/>
                <w:szCs w:val="21"/>
              </w:rPr>
            </w:pPr>
            <w:r>
              <w:rPr>
                <w:rFonts w:hint="eastAsia" w:ascii="Times New Roman" w:hAnsi="宋体"/>
                <w:szCs w:val="21"/>
              </w:rPr>
              <w:t>是</w:t>
            </w:r>
          </w:p>
        </w:tc>
        <w:tc>
          <w:tcPr>
            <w:tcW w:w="28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0A03AB2E">
            <w:pPr>
              <w:spacing w:line="264" w:lineRule="auto"/>
              <w:rPr>
                <w:rFonts w:ascii="Times New Roman" w:hAnsi="Times New Roman"/>
                <w:szCs w:val="21"/>
              </w:rPr>
            </w:pPr>
            <w:r>
              <w:rPr>
                <w:rFonts w:hint="eastAsia" w:ascii="Times New Roman" w:hAnsi="宋体"/>
                <w:szCs w:val="21"/>
              </w:rPr>
              <w:t>否</w:t>
            </w:r>
          </w:p>
        </w:tc>
        <w:tc>
          <w:tcPr>
            <w:tcW w:w="375"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520BFF93">
            <w:pPr>
              <w:pStyle w:val="24"/>
              <w:tabs>
                <w:tab w:val="left" w:pos="426"/>
              </w:tabs>
              <w:kinsoku w:val="0"/>
              <w:overflowPunct w:val="0"/>
              <w:adjustRightInd/>
              <w:spacing w:line="264" w:lineRule="auto"/>
              <w:jc w:val="center"/>
              <w:rPr>
                <w:sz w:val="21"/>
                <w:szCs w:val="21"/>
              </w:rPr>
            </w:pPr>
            <w:r>
              <w:rPr>
                <w:sz w:val="21"/>
                <w:szCs w:val="21"/>
              </w:rPr>
              <w:t>N/A</w:t>
            </w:r>
          </w:p>
        </w:tc>
        <w:tc>
          <w:tcPr>
            <w:tcW w:w="401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69658611">
            <w:pPr>
              <w:spacing w:line="264" w:lineRule="auto"/>
              <w:rPr>
                <w:rFonts w:ascii="Times New Roman" w:hAnsi="Times New Roman"/>
                <w:szCs w:val="21"/>
              </w:rPr>
            </w:pPr>
            <w:r>
              <w:rPr>
                <w:rFonts w:hint="eastAsia" w:ascii="Times New Roman" w:hAnsi="宋体"/>
                <w:szCs w:val="21"/>
              </w:rPr>
              <w:t>项目</w:t>
            </w:r>
          </w:p>
        </w:tc>
      </w:tr>
      <w:tr w14:paraId="21EF2BE6">
        <w:tblPrEx>
          <w:tblCellMar>
            <w:top w:w="0" w:type="dxa"/>
            <w:left w:w="0" w:type="dxa"/>
            <w:bottom w:w="0" w:type="dxa"/>
            <w:right w:w="0" w:type="dxa"/>
          </w:tblCellMar>
        </w:tblPrEx>
        <w:tc>
          <w:tcPr>
            <w:tcW w:w="328"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4582F07D">
            <w:pPr>
              <w:spacing w:line="264" w:lineRule="auto"/>
              <w:rPr>
                <w:rFonts w:ascii="Times New Roman" w:hAnsi="Times New Roman"/>
                <w:szCs w:val="21"/>
              </w:rPr>
            </w:pPr>
          </w:p>
        </w:tc>
        <w:tc>
          <w:tcPr>
            <w:tcW w:w="28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7156C8C0">
            <w:pPr>
              <w:spacing w:line="264" w:lineRule="auto"/>
              <w:rPr>
                <w:rFonts w:ascii="Times New Roman" w:hAnsi="Times New Roman"/>
                <w:szCs w:val="21"/>
              </w:rPr>
            </w:pPr>
          </w:p>
        </w:tc>
        <w:tc>
          <w:tcPr>
            <w:tcW w:w="375"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7481A046">
            <w:pPr>
              <w:spacing w:line="264" w:lineRule="auto"/>
              <w:rPr>
                <w:rFonts w:ascii="Times New Roman" w:hAnsi="Times New Roman"/>
                <w:szCs w:val="21"/>
              </w:rPr>
            </w:pPr>
          </w:p>
        </w:tc>
        <w:tc>
          <w:tcPr>
            <w:tcW w:w="401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74BC97F0">
            <w:pPr>
              <w:spacing w:line="264" w:lineRule="auto"/>
              <w:rPr>
                <w:rFonts w:ascii="Times New Roman" w:hAnsi="Times New Roman"/>
                <w:szCs w:val="21"/>
              </w:rPr>
            </w:pPr>
            <w:r>
              <w:rPr>
                <w:rFonts w:ascii="Times New Roman" w:hAnsi="Times New Roman"/>
                <w:szCs w:val="21"/>
              </w:rPr>
              <w:t>510(k)</w:t>
            </w:r>
            <w:r>
              <w:rPr>
                <w:rFonts w:hint="eastAsia" w:ascii="Times New Roman" w:hAnsi="宋体"/>
                <w:szCs w:val="21"/>
              </w:rPr>
              <w:t>摘要或声明</w:t>
            </w:r>
          </w:p>
        </w:tc>
      </w:tr>
      <w:tr w14:paraId="29C0C83F">
        <w:tblPrEx>
          <w:tblCellMar>
            <w:top w:w="0" w:type="dxa"/>
            <w:left w:w="0" w:type="dxa"/>
            <w:bottom w:w="0" w:type="dxa"/>
            <w:right w:w="0" w:type="dxa"/>
          </w:tblCellMar>
        </w:tblPrEx>
        <w:tc>
          <w:tcPr>
            <w:tcW w:w="328"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1A47AEB3">
            <w:pPr>
              <w:spacing w:line="264" w:lineRule="auto"/>
              <w:rPr>
                <w:rFonts w:ascii="Times New Roman" w:hAnsi="Times New Roman"/>
                <w:szCs w:val="21"/>
              </w:rPr>
            </w:pPr>
          </w:p>
        </w:tc>
        <w:tc>
          <w:tcPr>
            <w:tcW w:w="28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1361FECD">
            <w:pPr>
              <w:spacing w:line="264" w:lineRule="auto"/>
              <w:rPr>
                <w:rFonts w:ascii="Times New Roman" w:hAnsi="Times New Roman"/>
                <w:szCs w:val="21"/>
              </w:rPr>
            </w:pPr>
          </w:p>
        </w:tc>
        <w:tc>
          <w:tcPr>
            <w:tcW w:w="375"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5195254D">
            <w:pPr>
              <w:spacing w:line="264" w:lineRule="auto"/>
              <w:rPr>
                <w:rFonts w:ascii="Times New Roman" w:hAnsi="Times New Roman"/>
                <w:szCs w:val="21"/>
              </w:rPr>
            </w:pPr>
          </w:p>
        </w:tc>
        <w:tc>
          <w:tcPr>
            <w:tcW w:w="401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3A3706B0">
            <w:pPr>
              <w:spacing w:line="264" w:lineRule="auto"/>
              <w:rPr>
                <w:rFonts w:ascii="Times New Roman" w:hAnsi="Times New Roman"/>
                <w:szCs w:val="21"/>
              </w:rPr>
            </w:pPr>
            <w:r>
              <w:rPr>
                <w:rFonts w:hint="eastAsia" w:ascii="Times New Roman" w:hAnsi="宋体"/>
                <w:szCs w:val="21"/>
              </w:rPr>
              <w:t>适应症声明</w:t>
            </w:r>
          </w:p>
        </w:tc>
      </w:tr>
      <w:tr w14:paraId="7E0DAD0C">
        <w:tblPrEx>
          <w:tblCellMar>
            <w:top w:w="0" w:type="dxa"/>
            <w:left w:w="0" w:type="dxa"/>
            <w:bottom w:w="0" w:type="dxa"/>
            <w:right w:w="0" w:type="dxa"/>
          </w:tblCellMar>
        </w:tblPrEx>
        <w:tc>
          <w:tcPr>
            <w:tcW w:w="328"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45B76D18">
            <w:pPr>
              <w:spacing w:line="264" w:lineRule="auto"/>
              <w:rPr>
                <w:rFonts w:ascii="Times New Roman" w:hAnsi="Times New Roman"/>
                <w:szCs w:val="21"/>
              </w:rPr>
            </w:pPr>
          </w:p>
        </w:tc>
        <w:tc>
          <w:tcPr>
            <w:tcW w:w="28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775D7BB5">
            <w:pPr>
              <w:spacing w:line="264" w:lineRule="auto"/>
              <w:rPr>
                <w:rFonts w:ascii="Times New Roman" w:hAnsi="Times New Roman"/>
                <w:szCs w:val="21"/>
              </w:rPr>
            </w:pPr>
          </w:p>
        </w:tc>
        <w:tc>
          <w:tcPr>
            <w:tcW w:w="375"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21BFDA46">
            <w:pPr>
              <w:spacing w:line="264" w:lineRule="auto"/>
              <w:rPr>
                <w:rFonts w:ascii="Times New Roman" w:hAnsi="Times New Roman"/>
                <w:szCs w:val="21"/>
              </w:rPr>
            </w:pPr>
          </w:p>
        </w:tc>
        <w:tc>
          <w:tcPr>
            <w:tcW w:w="401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1AB74DD9">
            <w:pPr>
              <w:spacing w:line="264" w:lineRule="auto"/>
              <w:rPr>
                <w:rFonts w:ascii="Times New Roman" w:hAnsi="Times New Roman"/>
                <w:szCs w:val="21"/>
              </w:rPr>
            </w:pPr>
            <w:r>
              <w:rPr>
                <w:rFonts w:hint="eastAsia" w:ascii="Times New Roman" w:hAnsi="宋体"/>
                <w:szCs w:val="21"/>
              </w:rPr>
              <w:t>真实性和准确性声明</w:t>
            </w:r>
          </w:p>
        </w:tc>
      </w:tr>
      <w:tr w14:paraId="2853F2E7">
        <w:tblPrEx>
          <w:tblCellMar>
            <w:top w:w="0" w:type="dxa"/>
            <w:left w:w="0" w:type="dxa"/>
            <w:bottom w:w="0" w:type="dxa"/>
            <w:right w:w="0" w:type="dxa"/>
          </w:tblCellMar>
        </w:tblPrEx>
        <w:tc>
          <w:tcPr>
            <w:tcW w:w="328"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3DFB0B0A">
            <w:pPr>
              <w:spacing w:line="264" w:lineRule="auto"/>
              <w:rPr>
                <w:rFonts w:ascii="Times New Roman" w:hAnsi="Times New Roman"/>
                <w:szCs w:val="21"/>
              </w:rPr>
            </w:pPr>
          </w:p>
        </w:tc>
        <w:tc>
          <w:tcPr>
            <w:tcW w:w="28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64C37D7E">
            <w:pPr>
              <w:spacing w:line="264" w:lineRule="auto"/>
              <w:rPr>
                <w:rFonts w:ascii="Times New Roman" w:hAnsi="Times New Roman"/>
                <w:szCs w:val="21"/>
              </w:rPr>
            </w:pPr>
          </w:p>
        </w:tc>
        <w:tc>
          <w:tcPr>
            <w:tcW w:w="375"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28EAAA95">
            <w:pPr>
              <w:spacing w:line="264" w:lineRule="auto"/>
              <w:rPr>
                <w:rFonts w:ascii="Times New Roman" w:hAnsi="Times New Roman"/>
                <w:szCs w:val="21"/>
              </w:rPr>
            </w:pPr>
          </w:p>
        </w:tc>
        <w:tc>
          <w:tcPr>
            <w:tcW w:w="401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3428F8A8">
            <w:pPr>
              <w:spacing w:line="264" w:lineRule="auto"/>
              <w:rPr>
                <w:rFonts w:ascii="Times New Roman" w:hAnsi="Times New Roman"/>
                <w:szCs w:val="21"/>
              </w:rPr>
            </w:pPr>
            <w:r>
              <w:rPr>
                <w:rFonts w:hint="eastAsia" w:ascii="Times New Roman" w:hAnsi="宋体"/>
                <w:szCs w:val="21"/>
              </w:rPr>
              <w:t>新化学指示剂与已获批准的类似器械之间的比较</w:t>
            </w:r>
          </w:p>
        </w:tc>
      </w:tr>
      <w:tr w14:paraId="5C28C409">
        <w:tblPrEx>
          <w:tblCellMar>
            <w:top w:w="0" w:type="dxa"/>
            <w:left w:w="0" w:type="dxa"/>
            <w:bottom w:w="0" w:type="dxa"/>
            <w:right w:w="0" w:type="dxa"/>
          </w:tblCellMar>
        </w:tblPrEx>
        <w:tc>
          <w:tcPr>
            <w:tcW w:w="328" w:type="pct"/>
            <w:tcBorders>
              <w:top w:val="single" w:color="000000" w:sz="4" w:space="0"/>
              <w:left w:val="single" w:color="000000" w:sz="4" w:space="0"/>
              <w:bottom w:val="single" w:color="000000" w:sz="4" w:space="0"/>
              <w:right w:val="single" w:color="000000" w:sz="4" w:space="0"/>
            </w:tcBorders>
            <w:shd w:val="clear" w:color="auto" w:fill="9F9F9F"/>
            <w:tcMar>
              <w:left w:w="85" w:type="dxa"/>
              <w:right w:w="85" w:type="dxa"/>
            </w:tcMar>
            <w:vAlign w:val="center"/>
          </w:tcPr>
          <w:p w14:paraId="7B1D9A8F">
            <w:pPr>
              <w:spacing w:line="264" w:lineRule="auto"/>
              <w:rPr>
                <w:rFonts w:ascii="Times New Roman" w:hAnsi="Times New Roman"/>
                <w:szCs w:val="21"/>
              </w:rPr>
            </w:pPr>
          </w:p>
        </w:tc>
        <w:tc>
          <w:tcPr>
            <w:tcW w:w="281" w:type="pct"/>
            <w:tcBorders>
              <w:top w:val="single" w:color="000000" w:sz="4" w:space="0"/>
              <w:left w:val="single" w:color="000000" w:sz="4" w:space="0"/>
              <w:bottom w:val="single" w:color="000000" w:sz="4" w:space="0"/>
              <w:right w:val="single" w:color="000000" w:sz="4" w:space="0"/>
            </w:tcBorders>
            <w:shd w:val="clear" w:color="auto" w:fill="9F9F9F"/>
            <w:tcMar>
              <w:left w:w="85" w:type="dxa"/>
              <w:right w:w="85" w:type="dxa"/>
            </w:tcMar>
            <w:vAlign w:val="center"/>
          </w:tcPr>
          <w:p w14:paraId="2165287B">
            <w:pPr>
              <w:spacing w:line="264" w:lineRule="auto"/>
              <w:rPr>
                <w:rFonts w:ascii="Times New Roman" w:hAnsi="Times New Roman"/>
                <w:szCs w:val="21"/>
              </w:rPr>
            </w:pPr>
          </w:p>
        </w:tc>
        <w:tc>
          <w:tcPr>
            <w:tcW w:w="375" w:type="pct"/>
            <w:tcBorders>
              <w:top w:val="single" w:color="000000" w:sz="4" w:space="0"/>
              <w:left w:val="single" w:color="000000" w:sz="4" w:space="0"/>
              <w:bottom w:val="single" w:color="000000" w:sz="4" w:space="0"/>
              <w:right w:val="single" w:color="000000" w:sz="4" w:space="0"/>
            </w:tcBorders>
            <w:shd w:val="clear" w:color="auto" w:fill="9F9F9F"/>
            <w:tcMar>
              <w:left w:w="85" w:type="dxa"/>
              <w:right w:w="85" w:type="dxa"/>
            </w:tcMar>
            <w:vAlign w:val="center"/>
          </w:tcPr>
          <w:p w14:paraId="74A31D09">
            <w:pPr>
              <w:spacing w:line="264" w:lineRule="auto"/>
              <w:rPr>
                <w:rFonts w:ascii="Times New Roman" w:hAnsi="Times New Roman"/>
                <w:szCs w:val="21"/>
              </w:rPr>
            </w:pPr>
          </w:p>
        </w:tc>
        <w:tc>
          <w:tcPr>
            <w:tcW w:w="401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02641771">
            <w:pPr>
              <w:spacing w:line="264" w:lineRule="auto"/>
              <w:rPr>
                <w:rFonts w:ascii="Times New Roman" w:hAnsi="Times New Roman"/>
                <w:szCs w:val="21"/>
              </w:rPr>
            </w:pPr>
            <w:r>
              <w:rPr>
                <w:rFonts w:hint="eastAsia" w:ascii="Times New Roman" w:hAnsi="宋体"/>
                <w:szCs w:val="21"/>
              </w:rPr>
              <w:t>介绍</w:t>
            </w:r>
          </w:p>
        </w:tc>
      </w:tr>
      <w:tr w14:paraId="66C8CE0A">
        <w:tblPrEx>
          <w:tblCellMar>
            <w:top w:w="0" w:type="dxa"/>
            <w:left w:w="0" w:type="dxa"/>
            <w:bottom w:w="0" w:type="dxa"/>
            <w:right w:w="0" w:type="dxa"/>
          </w:tblCellMar>
        </w:tblPrEx>
        <w:tc>
          <w:tcPr>
            <w:tcW w:w="328"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4F0EE7E9">
            <w:pPr>
              <w:spacing w:line="264" w:lineRule="auto"/>
              <w:rPr>
                <w:rFonts w:ascii="Times New Roman" w:hAnsi="Times New Roman"/>
                <w:szCs w:val="21"/>
              </w:rPr>
            </w:pPr>
          </w:p>
        </w:tc>
        <w:tc>
          <w:tcPr>
            <w:tcW w:w="28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0FF058F0">
            <w:pPr>
              <w:spacing w:line="264" w:lineRule="auto"/>
              <w:rPr>
                <w:rFonts w:ascii="Times New Roman" w:hAnsi="Times New Roman"/>
                <w:szCs w:val="21"/>
              </w:rPr>
            </w:pPr>
          </w:p>
        </w:tc>
        <w:tc>
          <w:tcPr>
            <w:tcW w:w="375"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3D336E7F">
            <w:pPr>
              <w:spacing w:line="264" w:lineRule="auto"/>
              <w:rPr>
                <w:rFonts w:ascii="Times New Roman" w:hAnsi="Times New Roman"/>
                <w:szCs w:val="21"/>
              </w:rPr>
            </w:pPr>
          </w:p>
        </w:tc>
        <w:tc>
          <w:tcPr>
            <w:tcW w:w="401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6E1A6A75">
            <w:pPr>
              <w:spacing w:line="264" w:lineRule="auto"/>
              <w:rPr>
                <w:rFonts w:ascii="Times New Roman" w:hAnsi="Times New Roman"/>
                <w:szCs w:val="21"/>
              </w:rPr>
            </w:pPr>
            <w:r>
              <w:rPr>
                <w:rFonts w:hint="eastAsia" w:ascii="Times New Roman" w:hAnsi="宋体"/>
                <w:szCs w:val="21"/>
              </w:rPr>
              <w:t>油墨指示剂的剂型</w:t>
            </w:r>
          </w:p>
        </w:tc>
      </w:tr>
      <w:tr w14:paraId="68A7C5BE">
        <w:tblPrEx>
          <w:tblCellMar>
            <w:top w:w="0" w:type="dxa"/>
            <w:left w:w="0" w:type="dxa"/>
            <w:bottom w:w="0" w:type="dxa"/>
            <w:right w:w="0" w:type="dxa"/>
          </w:tblCellMar>
        </w:tblPrEx>
        <w:tc>
          <w:tcPr>
            <w:tcW w:w="328"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74A358C4">
            <w:pPr>
              <w:spacing w:line="264" w:lineRule="auto"/>
              <w:rPr>
                <w:rFonts w:ascii="Times New Roman" w:hAnsi="Times New Roman"/>
                <w:szCs w:val="21"/>
              </w:rPr>
            </w:pPr>
          </w:p>
        </w:tc>
        <w:tc>
          <w:tcPr>
            <w:tcW w:w="28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4BD947C9">
            <w:pPr>
              <w:spacing w:line="264" w:lineRule="auto"/>
              <w:rPr>
                <w:rFonts w:ascii="Times New Roman" w:hAnsi="Times New Roman"/>
                <w:szCs w:val="21"/>
              </w:rPr>
            </w:pPr>
          </w:p>
        </w:tc>
        <w:tc>
          <w:tcPr>
            <w:tcW w:w="375"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4E7F27F2">
            <w:pPr>
              <w:spacing w:line="264" w:lineRule="auto"/>
              <w:rPr>
                <w:rFonts w:ascii="Times New Roman" w:hAnsi="Times New Roman"/>
                <w:szCs w:val="21"/>
              </w:rPr>
            </w:pPr>
          </w:p>
        </w:tc>
        <w:tc>
          <w:tcPr>
            <w:tcW w:w="401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7401E519">
            <w:pPr>
              <w:spacing w:line="264" w:lineRule="auto"/>
              <w:rPr>
                <w:rFonts w:ascii="Times New Roman" w:hAnsi="Times New Roman"/>
                <w:szCs w:val="21"/>
              </w:rPr>
            </w:pPr>
            <w:r>
              <w:rPr>
                <w:rFonts w:hint="eastAsia" w:ascii="Times New Roman" w:hAnsi="宋体"/>
                <w:szCs w:val="21"/>
              </w:rPr>
              <w:t>与灭菌剂的化学反应</w:t>
            </w:r>
          </w:p>
        </w:tc>
      </w:tr>
      <w:tr w14:paraId="090217C9">
        <w:tblPrEx>
          <w:tblCellMar>
            <w:top w:w="0" w:type="dxa"/>
            <w:left w:w="0" w:type="dxa"/>
            <w:bottom w:w="0" w:type="dxa"/>
            <w:right w:w="0" w:type="dxa"/>
          </w:tblCellMar>
        </w:tblPrEx>
        <w:tc>
          <w:tcPr>
            <w:tcW w:w="328"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4CD0502C">
            <w:pPr>
              <w:spacing w:line="264" w:lineRule="auto"/>
              <w:rPr>
                <w:rFonts w:ascii="Times New Roman" w:hAnsi="Times New Roman"/>
                <w:szCs w:val="21"/>
              </w:rPr>
            </w:pPr>
          </w:p>
        </w:tc>
        <w:tc>
          <w:tcPr>
            <w:tcW w:w="28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773B5BA4">
            <w:pPr>
              <w:spacing w:line="264" w:lineRule="auto"/>
              <w:rPr>
                <w:rFonts w:ascii="Times New Roman" w:hAnsi="Times New Roman"/>
                <w:szCs w:val="21"/>
              </w:rPr>
            </w:pPr>
          </w:p>
        </w:tc>
        <w:tc>
          <w:tcPr>
            <w:tcW w:w="375"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7CEC3148">
            <w:pPr>
              <w:spacing w:line="264" w:lineRule="auto"/>
              <w:rPr>
                <w:rFonts w:ascii="Times New Roman" w:hAnsi="Times New Roman"/>
                <w:szCs w:val="21"/>
              </w:rPr>
            </w:pPr>
          </w:p>
        </w:tc>
        <w:tc>
          <w:tcPr>
            <w:tcW w:w="401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71F83954">
            <w:pPr>
              <w:spacing w:line="264" w:lineRule="auto"/>
              <w:rPr>
                <w:rFonts w:ascii="Times New Roman" w:hAnsi="Times New Roman"/>
                <w:szCs w:val="21"/>
              </w:rPr>
            </w:pPr>
            <w:r>
              <w:rPr>
                <w:rFonts w:hint="eastAsia" w:ascii="Times New Roman" w:hAnsi="宋体"/>
                <w:szCs w:val="21"/>
              </w:rPr>
              <w:t>指示剂的设计介绍与类型，例如：过程、积分器、</w:t>
            </w:r>
            <w:r>
              <w:rPr>
                <w:rFonts w:ascii="Times New Roman" w:hAnsi="Times New Roman"/>
                <w:szCs w:val="21"/>
              </w:rPr>
              <w:t>Bowie Dick</w:t>
            </w:r>
          </w:p>
        </w:tc>
      </w:tr>
      <w:tr w14:paraId="4DB77FFB">
        <w:tblPrEx>
          <w:tblCellMar>
            <w:top w:w="0" w:type="dxa"/>
            <w:left w:w="0" w:type="dxa"/>
            <w:bottom w:w="0" w:type="dxa"/>
            <w:right w:w="0" w:type="dxa"/>
          </w:tblCellMar>
        </w:tblPrEx>
        <w:tc>
          <w:tcPr>
            <w:tcW w:w="328"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12B45997">
            <w:pPr>
              <w:spacing w:line="264" w:lineRule="auto"/>
              <w:rPr>
                <w:rFonts w:ascii="Times New Roman" w:hAnsi="Times New Roman"/>
                <w:szCs w:val="21"/>
              </w:rPr>
            </w:pPr>
          </w:p>
        </w:tc>
        <w:tc>
          <w:tcPr>
            <w:tcW w:w="28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62BF1043">
            <w:pPr>
              <w:spacing w:line="264" w:lineRule="auto"/>
              <w:rPr>
                <w:rFonts w:ascii="Times New Roman" w:hAnsi="Times New Roman"/>
                <w:szCs w:val="21"/>
              </w:rPr>
            </w:pPr>
          </w:p>
        </w:tc>
        <w:tc>
          <w:tcPr>
            <w:tcW w:w="375"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704A4528">
            <w:pPr>
              <w:spacing w:line="264" w:lineRule="auto"/>
              <w:rPr>
                <w:rFonts w:ascii="Times New Roman" w:hAnsi="Times New Roman"/>
                <w:szCs w:val="21"/>
              </w:rPr>
            </w:pPr>
          </w:p>
        </w:tc>
        <w:tc>
          <w:tcPr>
            <w:tcW w:w="401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2C6FFBE8">
            <w:pPr>
              <w:spacing w:line="264" w:lineRule="auto"/>
              <w:rPr>
                <w:rFonts w:ascii="Times New Roman" w:hAnsi="Times New Roman"/>
                <w:szCs w:val="21"/>
              </w:rPr>
            </w:pPr>
            <w:r>
              <w:rPr>
                <w:rFonts w:hint="eastAsia" w:ascii="Times New Roman" w:hAnsi="宋体"/>
                <w:szCs w:val="21"/>
              </w:rPr>
              <w:t>指示剂将会发生反应的临界参数</w:t>
            </w:r>
          </w:p>
        </w:tc>
      </w:tr>
      <w:tr w14:paraId="65858D1B">
        <w:tblPrEx>
          <w:tblCellMar>
            <w:top w:w="0" w:type="dxa"/>
            <w:left w:w="0" w:type="dxa"/>
            <w:bottom w:w="0" w:type="dxa"/>
            <w:right w:w="0" w:type="dxa"/>
          </w:tblCellMar>
        </w:tblPrEx>
        <w:tc>
          <w:tcPr>
            <w:tcW w:w="328"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0E1A05FD">
            <w:pPr>
              <w:spacing w:line="264" w:lineRule="auto"/>
              <w:rPr>
                <w:rFonts w:ascii="Times New Roman" w:hAnsi="Times New Roman"/>
                <w:szCs w:val="21"/>
              </w:rPr>
            </w:pPr>
          </w:p>
        </w:tc>
        <w:tc>
          <w:tcPr>
            <w:tcW w:w="28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745C07E4">
            <w:pPr>
              <w:spacing w:line="264" w:lineRule="auto"/>
              <w:rPr>
                <w:rFonts w:ascii="Times New Roman" w:hAnsi="Times New Roman"/>
                <w:szCs w:val="21"/>
              </w:rPr>
            </w:pPr>
          </w:p>
        </w:tc>
        <w:tc>
          <w:tcPr>
            <w:tcW w:w="375"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7F46A81B">
            <w:pPr>
              <w:spacing w:line="264" w:lineRule="auto"/>
              <w:rPr>
                <w:rFonts w:ascii="Times New Roman" w:hAnsi="Times New Roman"/>
                <w:szCs w:val="21"/>
              </w:rPr>
            </w:pPr>
          </w:p>
        </w:tc>
        <w:tc>
          <w:tcPr>
            <w:tcW w:w="401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5AC4FE6E">
            <w:pPr>
              <w:spacing w:line="264" w:lineRule="auto"/>
              <w:rPr>
                <w:rFonts w:ascii="Times New Roman" w:hAnsi="Times New Roman"/>
                <w:szCs w:val="21"/>
              </w:rPr>
            </w:pPr>
            <w:r>
              <w:rPr>
                <w:rFonts w:hint="eastAsia" w:ascii="Times New Roman" w:hAnsi="宋体"/>
                <w:szCs w:val="21"/>
              </w:rPr>
              <w:t>影响变化的合格</w:t>
            </w:r>
            <w:r>
              <w:rPr>
                <w:rFonts w:ascii="Times New Roman" w:hAnsi="Times New Roman"/>
                <w:szCs w:val="21"/>
              </w:rPr>
              <w:t>/</w:t>
            </w:r>
            <w:r>
              <w:rPr>
                <w:rFonts w:hint="eastAsia" w:ascii="Times New Roman" w:hAnsi="宋体"/>
                <w:szCs w:val="21"/>
              </w:rPr>
              <w:t>不合格标准或最小暴露参数</w:t>
            </w:r>
          </w:p>
        </w:tc>
      </w:tr>
      <w:tr w14:paraId="0B592FAA">
        <w:tblPrEx>
          <w:tblCellMar>
            <w:top w:w="0" w:type="dxa"/>
            <w:left w:w="0" w:type="dxa"/>
            <w:bottom w:w="0" w:type="dxa"/>
            <w:right w:w="0" w:type="dxa"/>
          </w:tblCellMar>
        </w:tblPrEx>
        <w:tc>
          <w:tcPr>
            <w:tcW w:w="328" w:type="pct"/>
            <w:tcBorders>
              <w:top w:val="single" w:color="000000" w:sz="4" w:space="0"/>
              <w:left w:val="single" w:color="000000" w:sz="4" w:space="0"/>
              <w:bottom w:val="single" w:color="000000" w:sz="4" w:space="0"/>
              <w:right w:val="single" w:color="000000" w:sz="4" w:space="0"/>
            </w:tcBorders>
            <w:shd w:val="clear" w:color="auto" w:fill="9F9F9F"/>
            <w:tcMar>
              <w:left w:w="85" w:type="dxa"/>
              <w:right w:w="85" w:type="dxa"/>
            </w:tcMar>
            <w:vAlign w:val="center"/>
          </w:tcPr>
          <w:p w14:paraId="0EDD29A5">
            <w:pPr>
              <w:spacing w:line="264" w:lineRule="auto"/>
              <w:rPr>
                <w:rFonts w:ascii="Times New Roman" w:hAnsi="Times New Roman"/>
                <w:szCs w:val="21"/>
              </w:rPr>
            </w:pPr>
          </w:p>
        </w:tc>
        <w:tc>
          <w:tcPr>
            <w:tcW w:w="281" w:type="pct"/>
            <w:tcBorders>
              <w:top w:val="single" w:color="000000" w:sz="4" w:space="0"/>
              <w:left w:val="single" w:color="000000" w:sz="4" w:space="0"/>
              <w:bottom w:val="single" w:color="000000" w:sz="4" w:space="0"/>
              <w:right w:val="single" w:color="000000" w:sz="4" w:space="0"/>
            </w:tcBorders>
            <w:shd w:val="clear" w:color="auto" w:fill="9F9F9F"/>
            <w:tcMar>
              <w:left w:w="85" w:type="dxa"/>
              <w:right w:w="85" w:type="dxa"/>
            </w:tcMar>
            <w:vAlign w:val="center"/>
          </w:tcPr>
          <w:p w14:paraId="31BB9580">
            <w:pPr>
              <w:spacing w:line="264" w:lineRule="auto"/>
              <w:rPr>
                <w:rFonts w:ascii="Times New Roman" w:hAnsi="Times New Roman"/>
                <w:szCs w:val="21"/>
              </w:rPr>
            </w:pPr>
          </w:p>
        </w:tc>
        <w:tc>
          <w:tcPr>
            <w:tcW w:w="375" w:type="pct"/>
            <w:tcBorders>
              <w:top w:val="single" w:color="000000" w:sz="4" w:space="0"/>
              <w:left w:val="single" w:color="000000" w:sz="4" w:space="0"/>
              <w:bottom w:val="single" w:color="000000" w:sz="4" w:space="0"/>
              <w:right w:val="single" w:color="000000" w:sz="4" w:space="0"/>
            </w:tcBorders>
            <w:shd w:val="clear" w:color="auto" w:fill="9F9F9F"/>
            <w:tcMar>
              <w:left w:w="85" w:type="dxa"/>
              <w:right w:w="85" w:type="dxa"/>
            </w:tcMar>
            <w:vAlign w:val="center"/>
          </w:tcPr>
          <w:p w14:paraId="197041DB">
            <w:pPr>
              <w:spacing w:line="264" w:lineRule="auto"/>
              <w:rPr>
                <w:rFonts w:ascii="Times New Roman" w:hAnsi="Times New Roman"/>
                <w:szCs w:val="21"/>
              </w:rPr>
            </w:pPr>
          </w:p>
        </w:tc>
        <w:tc>
          <w:tcPr>
            <w:tcW w:w="401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227CE0E7">
            <w:pPr>
              <w:spacing w:line="264" w:lineRule="auto"/>
              <w:rPr>
                <w:rFonts w:ascii="Times New Roman" w:hAnsi="Times New Roman"/>
                <w:szCs w:val="21"/>
              </w:rPr>
            </w:pPr>
            <w:r>
              <w:rPr>
                <w:rFonts w:hint="eastAsia" w:ascii="Times New Roman" w:hAnsi="宋体"/>
                <w:szCs w:val="21"/>
              </w:rPr>
              <w:t>性能</w:t>
            </w:r>
          </w:p>
        </w:tc>
      </w:tr>
      <w:tr w14:paraId="10721EF8">
        <w:tblPrEx>
          <w:tblCellMar>
            <w:top w:w="0" w:type="dxa"/>
            <w:left w:w="0" w:type="dxa"/>
            <w:bottom w:w="0" w:type="dxa"/>
            <w:right w:w="0" w:type="dxa"/>
          </w:tblCellMar>
        </w:tblPrEx>
        <w:tc>
          <w:tcPr>
            <w:tcW w:w="328"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2EF9141E">
            <w:pPr>
              <w:spacing w:line="264" w:lineRule="auto"/>
              <w:rPr>
                <w:rFonts w:ascii="Times New Roman" w:hAnsi="Times New Roman"/>
                <w:szCs w:val="21"/>
              </w:rPr>
            </w:pPr>
          </w:p>
        </w:tc>
        <w:tc>
          <w:tcPr>
            <w:tcW w:w="28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492BA5C6">
            <w:pPr>
              <w:spacing w:line="264" w:lineRule="auto"/>
              <w:rPr>
                <w:rFonts w:ascii="Times New Roman" w:hAnsi="Times New Roman"/>
                <w:szCs w:val="21"/>
              </w:rPr>
            </w:pPr>
          </w:p>
        </w:tc>
        <w:tc>
          <w:tcPr>
            <w:tcW w:w="375"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74994333">
            <w:pPr>
              <w:spacing w:line="264" w:lineRule="auto"/>
              <w:rPr>
                <w:rFonts w:ascii="Times New Roman" w:hAnsi="Times New Roman"/>
                <w:szCs w:val="21"/>
              </w:rPr>
            </w:pPr>
          </w:p>
        </w:tc>
        <w:tc>
          <w:tcPr>
            <w:tcW w:w="401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00789045">
            <w:pPr>
              <w:spacing w:line="264" w:lineRule="auto"/>
              <w:rPr>
                <w:rFonts w:ascii="Times New Roman" w:hAnsi="Times New Roman"/>
                <w:szCs w:val="21"/>
              </w:rPr>
            </w:pPr>
            <w:r>
              <w:rPr>
                <w:rFonts w:hint="eastAsia" w:ascii="Times New Roman" w:hAnsi="宋体"/>
                <w:szCs w:val="21"/>
              </w:rPr>
              <w:t>支持终点的数据以及合格</w:t>
            </w:r>
            <w:r>
              <w:rPr>
                <w:rFonts w:ascii="Times New Roman" w:hAnsi="Times New Roman"/>
                <w:szCs w:val="21"/>
              </w:rPr>
              <w:t>/</w:t>
            </w:r>
            <w:r>
              <w:rPr>
                <w:rFonts w:hint="eastAsia" w:ascii="Times New Roman" w:hAnsi="宋体"/>
                <w:szCs w:val="21"/>
              </w:rPr>
              <w:t>不合格标准</w:t>
            </w:r>
          </w:p>
        </w:tc>
      </w:tr>
      <w:tr w14:paraId="5C0CD6C0">
        <w:tblPrEx>
          <w:tblCellMar>
            <w:top w:w="0" w:type="dxa"/>
            <w:left w:w="0" w:type="dxa"/>
            <w:bottom w:w="0" w:type="dxa"/>
            <w:right w:w="0" w:type="dxa"/>
          </w:tblCellMar>
        </w:tblPrEx>
        <w:tc>
          <w:tcPr>
            <w:tcW w:w="328"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1FC6FDB7">
            <w:pPr>
              <w:spacing w:line="264" w:lineRule="auto"/>
              <w:rPr>
                <w:rFonts w:ascii="Times New Roman" w:hAnsi="Times New Roman"/>
                <w:szCs w:val="21"/>
              </w:rPr>
            </w:pPr>
          </w:p>
        </w:tc>
        <w:tc>
          <w:tcPr>
            <w:tcW w:w="28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2E85D7A9">
            <w:pPr>
              <w:spacing w:line="264" w:lineRule="auto"/>
              <w:rPr>
                <w:rFonts w:ascii="Times New Roman" w:hAnsi="Times New Roman"/>
                <w:szCs w:val="21"/>
              </w:rPr>
            </w:pPr>
          </w:p>
        </w:tc>
        <w:tc>
          <w:tcPr>
            <w:tcW w:w="375"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3380AA12">
            <w:pPr>
              <w:spacing w:line="264" w:lineRule="auto"/>
              <w:rPr>
                <w:rFonts w:ascii="Times New Roman" w:hAnsi="Times New Roman"/>
                <w:szCs w:val="21"/>
              </w:rPr>
            </w:pPr>
          </w:p>
        </w:tc>
        <w:tc>
          <w:tcPr>
            <w:tcW w:w="401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7A9D9BA6">
            <w:pPr>
              <w:spacing w:line="264" w:lineRule="auto"/>
              <w:rPr>
                <w:rFonts w:ascii="Times New Roman" w:hAnsi="Times New Roman"/>
                <w:szCs w:val="21"/>
              </w:rPr>
            </w:pPr>
            <w:r>
              <w:rPr>
                <w:rFonts w:hint="eastAsia" w:ascii="Times New Roman" w:hAnsi="宋体"/>
                <w:szCs w:val="21"/>
              </w:rPr>
              <w:t>支持积分器参数的数据</w:t>
            </w:r>
          </w:p>
        </w:tc>
      </w:tr>
      <w:tr w14:paraId="39918EBF">
        <w:tblPrEx>
          <w:tblCellMar>
            <w:top w:w="0" w:type="dxa"/>
            <w:left w:w="0" w:type="dxa"/>
            <w:bottom w:w="0" w:type="dxa"/>
            <w:right w:w="0" w:type="dxa"/>
          </w:tblCellMar>
        </w:tblPrEx>
        <w:tc>
          <w:tcPr>
            <w:tcW w:w="328"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34C493AD">
            <w:pPr>
              <w:spacing w:line="264" w:lineRule="auto"/>
              <w:rPr>
                <w:rFonts w:ascii="Times New Roman" w:hAnsi="Times New Roman"/>
                <w:szCs w:val="21"/>
              </w:rPr>
            </w:pPr>
          </w:p>
        </w:tc>
        <w:tc>
          <w:tcPr>
            <w:tcW w:w="28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61330E00">
            <w:pPr>
              <w:spacing w:line="264" w:lineRule="auto"/>
              <w:rPr>
                <w:rFonts w:ascii="Times New Roman" w:hAnsi="Times New Roman"/>
                <w:szCs w:val="21"/>
              </w:rPr>
            </w:pPr>
          </w:p>
        </w:tc>
        <w:tc>
          <w:tcPr>
            <w:tcW w:w="375"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63168FEF">
            <w:pPr>
              <w:spacing w:line="264" w:lineRule="auto"/>
              <w:rPr>
                <w:rFonts w:ascii="Times New Roman" w:hAnsi="Times New Roman"/>
                <w:szCs w:val="21"/>
              </w:rPr>
            </w:pPr>
          </w:p>
        </w:tc>
        <w:tc>
          <w:tcPr>
            <w:tcW w:w="401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6889C31F">
            <w:pPr>
              <w:spacing w:line="264" w:lineRule="auto"/>
              <w:rPr>
                <w:rFonts w:ascii="Times New Roman" w:hAnsi="Times New Roman"/>
                <w:szCs w:val="21"/>
              </w:rPr>
            </w:pPr>
            <w:r>
              <w:rPr>
                <w:rFonts w:ascii="Times New Roman" w:hAnsi="Times New Roman"/>
                <w:szCs w:val="21"/>
              </w:rPr>
              <w:t>Bowie Dick</w:t>
            </w:r>
            <w:r>
              <w:rPr>
                <w:rFonts w:hint="eastAsia" w:ascii="Times New Roman" w:hAnsi="宋体"/>
                <w:szCs w:val="21"/>
              </w:rPr>
              <w:t>测试的其他数据</w:t>
            </w:r>
          </w:p>
        </w:tc>
      </w:tr>
      <w:tr w14:paraId="002ED693">
        <w:tblPrEx>
          <w:tblCellMar>
            <w:top w:w="0" w:type="dxa"/>
            <w:left w:w="0" w:type="dxa"/>
            <w:bottom w:w="0" w:type="dxa"/>
            <w:right w:w="0" w:type="dxa"/>
          </w:tblCellMar>
        </w:tblPrEx>
        <w:tc>
          <w:tcPr>
            <w:tcW w:w="328"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10006CD2">
            <w:pPr>
              <w:spacing w:line="264" w:lineRule="auto"/>
              <w:rPr>
                <w:rFonts w:ascii="Times New Roman" w:hAnsi="Times New Roman"/>
                <w:szCs w:val="21"/>
              </w:rPr>
            </w:pPr>
          </w:p>
        </w:tc>
        <w:tc>
          <w:tcPr>
            <w:tcW w:w="28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17AB44E8">
            <w:pPr>
              <w:spacing w:line="264" w:lineRule="auto"/>
              <w:rPr>
                <w:rFonts w:ascii="Times New Roman" w:hAnsi="Times New Roman"/>
                <w:szCs w:val="21"/>
              </w:rPr>
            </w:pPr>
          </w:p>
        </w:tc>
        <w:tc>
          <w:tcPr>
            <w:tcW w:w="375"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45E4F8F8">
            <w:pPr>
              <w:spacing w:line="264" w:lineRule="auto"/>
              <w:rPr>
                <w:rFonts w:ascii="Times New Roman" w:hAnsi="Times New Roman"/>
                <w:szCs w:val="21"/>
              </w:rPr>
            </w:pPr>
          </w:p>
        </w:tc>
        <w:tc>
          <w:tcPr>
            <w:tcW w:w="401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0C9174CE">
            <w:pPr>
              <w:spacing w:line="264" w:lineRule="auto"/>
              <w:ind w:left="210" w:leftChars="100"/>
              <w:rPr>
                <w:rFonts w:ascii="Times New Roman" w:hAnsi="Times New Roman"/>
                <w:szCs w:val="21"/>
              </w:rPr>
            </w:pPr>
            <w:r>
              <w:rPr>
                <w:rFonts w:hint="eastAsia" w:ascii="Times New Roman" w:hAnsi="宋体"/>
                <w:szCs w:val="21"/>
              </w:rPr>
              <w:t>证明空气探测公差的数据</w:t>
            </w:r>
          </w:p>
        </w:tc>
      </w:tr>
      <w:tr w14:paraId="452F5897">
        <w:tblPrEx>
          <w:tblCellMar>
            <w:top w:w="0" w:type="dxa"/>
            <w:left w:w="0" w:type="dxa"/>
            <w:bottom w:w="0" w:type="dxa"/>
            <w:right w:w="0" w:type="dxa"/>
          </w:tblCellMar>
        </w:tblPrEx>
        <w:tc>
          <w:tcPr>
            <w:tcW w:w="328"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20FA0B97">
            <w:pPr>
              <w:spacing w:line="264" w:lineRule="auto"/>
              <w:rPr>
                <w:rFonts w:ascii="Times New Roman" w:hAnsi="Times New Roman"/>
                <w:szCs w:val="21"/>
              </w:rPr>
            </w:pPr>
          </w:p>
        </w:tc>
        <w:tc>
          <w:tcPr>
            <w:tcW w:w="28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53E92411">
            <w:pPr>
              <w:spacing w:line="264" w:lineRule="auto"/>
              <w:rPr>
                <w:rFonts w:ascii="Times New Roman" w:hAnsi="Times New Roman"/>
                <w:szCs w:val="21"/>
              </w:rPr>
            </w:pPr>
          </w:p>
        </w:tc>
        <w:tc>
          <w:tcPr>
            <w:tcW w:w="375"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03C3AAE4">
            <w:pPr>
              <w:spacing w:line="264" w:lineRule="auto"/>
              <w:rPr>
                <w:rFonts w:ascii="Times New Roman" w:hAnsi="Times New Roman"/>
                <w:szCs w:val="21"/>
              </w:rPr>
            </w:pPr>
          </w:p>
        </w:tc>
        <w:tc>
          <w:tcPr>
            <w:tcW w:w="401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35414C4B">
            <w:pPr>
              <w:spacing w:line="264" w:lineRule="auto"/>
              <w:ind w:left="210" w:leftChars="100"/>
              <w:rPr>
                <w:rFonts w:ascii="Times New Roman" w:hAnsi="Times New Roman"/>
                <w:szCs w:val="21"/>
              </w:rPr>
            </w:pPr>
            <w:r>
              <w:rPr>
                <w:rFonts w:hint="eastAsia" w:ascii="Times New Roman" w:hAnsi="宋体"/>
                <w:szCs w:val="21"/>
              </w:rPr>
              <w:t>纸质载体的孔隙率</w:t>
            </w:r>
          </w:p>
        </w:tc>
      </w:tr>
      <w:tr w14:paraId="77E9611F">
        <w:tblPrEx>
          <w:tblCellMar>
            <w:top w:w="0" w:type="dxa"/>
            <w:left w:w="0" w:type="dxa"/>
            <w:bottom w:w="0" w:type="dxa"/>
            <w:right w:w="0" w:type="dxa"/>
          </w:tblCellMar>
        </w:tblPrEx>
        <w:tc>
          <w:tcPr>
            <w:tcW w:w="328"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49D7FB35">
            <w:pPr>
              <w:spacing w:line="264" w:lineRule="auto"/>
              <w:rPr>
                <w:rFonts w:ascii="Times New Roman" w:hAnsi="Times New Roman"/>
                <w:szCs w:val="21"/>
              </w:rPr>
            </w:pPr>
          </w:p>
        </w:tc>
        <w:tc>
          <w:tcPr>
            <w:tcW w:w="28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3AB916E4">
            <w:pPr>
              <w:spacing w:line="264" w:lineRule="auto"/>
              <w:rPr>
                <w:rFonts w:ascii="Times New Roman" w:hAnsi="Times New Roman"/>
                <w:szCs w:val="21"/>
              </w:rPr>
            </w:pPr>
          </w:p>
        </w:tc>
        <w:tc>
          <w:tcPr>
            <w:tcW w:w="375"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518AE328">
            <w:pPr>
              <w:spacing w:line="264" w:lineRule="auto"/>
              <w:rPr>
                <w:rFonts w:ascii="Times New Roman" w:hAnsi="Times New Roman"/>
                <w:szCs w:val="21"/>
              </w:rPr>
            </w:pPr>
          </w:p>
        </w:tc>
        <w:tc>
          <w:tcPr>
            <w:tcW w:w="401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18705C3D">
            <w:pPr>
              <w:spacing w:line="264" w:lineRule="auto"/>
              <w:rPr>
                <w:rFonts w:ascii="Times New Roman" w:hAnsi="Times New Roman"/>
                <w:szCs w:val="21"/>
              </w:rPr>
            </w:pPr>
            <w:r>
              <w:rPr>
                <w:rFonts w:hint="eastAsia" w:ascii="Times New Roman" w:hAnsi="宋体"/>
                <w:szCs w:val="21"/>
              </w:rPr>
              <w:t>生物相容性信息</w:t>
            </w:r>
          </w:p>
        </w:tc>
      </w:tr>
      <w:tr w14:paraId="3DAE655B">
        <w:tblPrEx>
          <w:tblCellMar>
            <w:top w:w="0" w:type="dxa"/>
            <w:left w:w="0" w:type="dxa"/>
            <w:bottom w:w="0" w:type="dxa"/>
            <w:right w:w="0" w:type="dxa"/>
          </w:tblCellMar>
        </w:tblPrEx>
        <w:tc>
          <w:tcPr>
            <w:tcW w:w="328"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43894C2A">
            <w:pPr>
              <w:spacing w:line="264" w:lineRule="auto"/>
              <w:rPr>
                <w:rFonts w:ascii="Times New Roman" w:hAnsi="Times New Roman"/>
                <w:szCs w:val="21"/>
              </w:rPr>
            </w:pPr>
          </w:p>
        </w:tc>
        <w:tc>
          <w:tcPr>
            <w:tcW w:w="28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5F29DBEE">
            <w:pPr>
              <w:spacing w:line="264" w:lineRule="auto"/>
              <w:rPr>
                <w:rFonts w:ascii="Times New Roman" w:hAnsi="Times New Roman"/>
                <w:szCs w:val="21"/>
              </w:rPr>
            </w:pPr>
          </w:p>
        </w:tc>
        <w:tc>
          <w:tcPr>
            <w:tcW w:w="375"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4B8FD765">
            <w:pPr>
              <w:spacing w:line="264" w:lineRule="auto"/>
              <w:rPr>
                <w:rFonts w:ascii="Times New Roman" w:hAnsi="Times New Roman"/>
                <w:szCs w:val="21"/>
              </w:rPr>
            </w:pPr>
          </w:p>
        </w:tc>
        <w:tc>
          <w:tcPr>
            <w:tcW w:w="401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24FA4A4B">
            <w:pPr>
              <w:spacing w:line="264" w:lineRule="auto"/>
              <w:rPr>
                <w:rFonts w:ascii="Times New Roman" w:hAnsi="Times New Roman"/>
                <w:szCs w:val="21"/>
              </w:rPr>
            </w:pPr>
            <w:r>
              <w:rPr>
                <w:rFonts w:hint="eastAsia" w:ascii="Times New Roman" w:hAnsi="宋体"/>
                <w:szCs w:val="21"/>
              </w:rPr>
              <w:t>支持货架期的数据</w:t>
            </w:r>
          </w:p>
        </w:tc>
      </w:tr>
      <w:tr w14:paraId="385BAC7D">
        <w:tblPrEx>
          <w:tblCellMar>
            <w:top w:w="0" w:type="dxa"/>
            <w:left w:w="0" w:type="dxa"/>
            <w:bottom w:w="0" w:type="dxa"/>
            <w:right w:w="0" w:type="dxa"/>
          </w:tblCellMar>
        </w:tblPrEx>
        <w:tc>
          <w:tcPr>
            <w:tcW w:w="328"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6278FA08">
            <w:pPr>
              <w:spacing w:line="264" w:lineRule="auto"/>
              <w:rPr>
                <w:rFonts w:ascii="Times New Roman" w:hAnsi="Times New Roman"/>
                <w:szCs w:val="21"/>
              </w:rPr>
            </w:pPr>
          </w:p>
        </w:tc>
        <w:tc>
          <w:tcPr>
            <w:tcW w:w="28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0BEB10C9">
            <w:pPr>
              <w:spacing w:line="264" w:lineRule="auto"/>
              <w:rPr>
                <w:rFonts w:ascii="Times New Roman" w:hAnsi="Times New Roman"/>
                <w:szCs w:val="21"/>
              </w:rPr>
            </w:pPr>
          </w:p>
        </w:tc>
        <w:tc>
          <w:tcPr>
            <w:tcW w:w="375"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2A70AAAB">
            <w:pPr>
              <w:spacing w:line="264" w:lineRule="auto"/>
              <w:rPr>
                <w:rFonts w:ascii="Times New Roman" w:hAnsi="Times New Roman"/>
                <w:szCs w:val="21"/>
              </w:rPr>
            </w:pPr>
          </w:p>
        </w:tc>
        <w:tc>
          <w:tcPr>
            <w:tcW w:w="401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1671D718">
            <w:pPr>
              <w:spacing w:line="264" w:lineRule="auto"/>
              <w:rPr>
                <w:rFonts w:ascii="Times New Roman" w:hAnsi="Times New Roman"/>
                <w:szCs w:val="21"/>
              </w:rPr>
            </w:pPr>
            <w:r>
              <w:rPr>
                <w:rFonts w:hint="eastAsia" w:ascii="Times New Roman" w:hAnsi="宋体"/>
                <w:szCs w:val="21"/>
              </w:rPr>
              <w:t>支持终点颜色稳定性的数据</w:t>
            </w:r>
          </w:p>
        </w:tc>
      </w:tr>
      <w:tr w14:paraId="068DB619">
        <w:tblPrEx>
          <w:tblCellMar>
            <w:top w:w="0" w:type="dxa"/>
            <w:left w:w="0" w:type="dxa"/>
            <w:bottom w:w="0" w:type="dxa"/>
            <w:right w:w="0" w:type="dxa"/>
          </w:tblCellMar>
        </w:tblPrEx>
        <w:tc>
          <w:tcPr>
            <w:tcW w:w="328" w:type="pct"/>
            <w:tcBorders>
              <w:top w:val="single" w:color="000000" w:sz="4" w:space="0"/>
              <w:left w:val="single" w:color="000000" w:sz="4" w:space="0"/>
              <w:bottom w:val="single" w:color="000000" w:sz="4" w:space="0"/>
              <w:right w:val="single" w:color="000000" w:sz="4" w:space="0"/>
            </w:tcBorders>
            <w:shd w:val="clear" w:color="auto" w:fill="9A9A9A"/>
            <w:tcMar>
              <w:left w:w="85" w:type="dxa"/>
              <w:right w:w="85" w:type="dxa"/>
            </w:tcMar>
            <w:vAlign w:val="center"/>
          </w:tcPr>
          <w:p w14:paraId="32B19274">
            <w:pPr>
              <w:spacing w:line="264" w:lineRule="auto"/>
              <w:rPr>
                <w:rFonts w:ascii="Times New Roman" w:hAnsi="Times New Roman"/>
                <w:szCs w:val="21"/>
              </w:rPr>
            </w:pPr>
          </w:p>
        </w:tc>
        <w:tc>
          <w:tcPr>
            <w:tcW w:w="281" w:type="pct"/>
            <w:tcBorders>
              <w:top w:val="single" w:color="000000" w:sz="4" w:space="0"/>
              <w:left w:val="single" w:color="000000" w:sz="4" w:space="0"/>
              <w:bottom w:val="single" w:color="000000" w:sz="4" w:space="0"/>
              <w:right w:val="single" w:color="000000" w:sz="4" w:space="0"/>
            </w:tcBorders>
            <w:shd w:val="clear" w:color="auto" w:fill="9A9A9A"/>
            <w:tcMar>
              <w:left w:w="85" w:type="dxa"/>
              <w:right w:w="85" w:type="dxa"/>
            </w:tcMar>
            <w:vAlign w:val="center"/>
          </w:tcPr>
          <w:p w14:paraId="71FAFD46">
            <w:pPr>
              <w:spacing w:line="264" w:lineRule="auto"/>
              <w:rPr>
                <w:rFonts w:ascii="Times New Roman" w:hAnsi="Times New Roman"/>
                <w:szCs w:val="21"/>
              </w:rPr>
            </w:pPr>
          </w:p>
        </w:tc>
        <w:tc>
          <w:tcPr>
            <w:tcW w:w="375" w:type="pct"/>
            <w:tcBorders>
              <w:top w:val="single" w:color="000000" w:sz="4" w:space="0"/>
              <w:left w:val="single" w:color="000000" w:sz="4" w:space="0"/>
              <w:bottom w:val="single" w:color="000000" w:sz="4" w:space="0"/>
              <w:right w:val="single" w:color="000000" w:sz="4" w:space="0"/>
            </w:tcBorders>
            <w:shd w:val="clear" w:color="auto" w:fill="9A9A9A"/>
            <w:tcMar>
              <w:left w:w="85" w:type="dxa"/>
              <w:right w:w="85" w:type="dxa"/>
            </w:tcMar>
            <w:vAlign w:val="center"/>
          </w:tcPr>
          <w:p w14:paraId="58BD4193">
            <w:pPr>
              <w:spacing w:line="264" w:lineRule="auto"/>
              <w:rPr>
                <w:rFonts w:ascii="Times New Roman" w:hAnsi="Times New Roman"/>
                <w:szCs w:val="21"/>
              </w:rPr>
            </w:pPr>
          </w:p>
        </w:tc>
        <w:tc>
          <w:tcPr>
            <w:tcW w:w="401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0CC624B4">
            <w:pPr>
              <w:spacing w:line="264" w:lineRule="auto"/>
              <w:rPr>
                <w:rFonts w:ascii="Times New Roman" w:hAnsi="Times New Roman"/>
                <w:szCs w:val="21"/>
              </w:rPr>
            </w:pPr>
            <w:r>
              <w:rPr>
                <w:rFonts w:hint="eastAsia" w:ascii="Times New Roman" w:hAnsi="宋体"/>
                <w:szCs w:val="21"/>
              </w:rPr>
              <w:t>标签</w:t>
            </w:r>
          </w:p>
        </w:tc>
      </w:tr>
      <w:tr w14:paraId="3EF05ECB">
        <w:tblPrEx>
          <w:tblCellMar>
            <w:top w:w="0" w:type="dxa"/>
            <w:left w:w="0" w:type="dxa"/>
            <w:bottom w:w="0" w:type="dxa"/>
            <w:right w:w="0" w:type="dxa"/>
          </w:tblCellMar>
        </w:tblPrEx>
        <w:tc>
          <w:tcPr>
            <w:tcW w:w="328"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15D5FD0F">
            <w:pPr>
              <w:spacing w:line="264" w:lineRule="auto"/>
              <w:rPr>
                <w:rFonts w:ascii="Times New Roman" w:hAnsi="Times New Roman"/>
                <w:szCs w:val="21"/>
              </w:rPr>
            </w:pPr>
          </w:p>
        </w:tc>
        <w:tc>
          <w:tcPr>
            <w:tcW w:w="28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73868FD0">
            <w:pPr>
              <w:spacing w:line="264" w:lineRule="auto"/>
              <w:rPr>
                <w:rFonts w:ascii="Times New Roman" w:hAnsi="Times New Roman"/>
                <w:szCs w:val="21"/>
              </w:rPr>
            </w:pPr>
          </w:p>
        </w:tc>
        <w:tc>
          <w:tcPr>
            <w:tcW w:w="375"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23EEC3F6">
            <w:pPr>
              <w:spacing w:line="264" w:lineRule="auto"/>
              <w:rPr>
                <w:rFonts w:ascii="Times New Roman" w:hAnsi="Times New Roman"/>
                <w:szCs w:val="21"/>
              </w:rPr>
            </w:pPr>
          </w:p>
        </w:tc>
        <w:tc>
          <w:tcPr>
            <w:tcW w:w="401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60750E16">
            <w:pPr>
              <w:spacing w:line="264" w:lineRule="auto"/>
              <w:rPr>
                <w:rFonts w:ascii="Times New Roman" w:hAnsi="Times New Roman"/>
                <w:szCs w:val="21"/>
              </w:rPr>
            </w:pPr>
            <w:r>
              <w:rPr>
                <w:rFonts w:hint="eastAsia" w:ascii="Times New Roman" w:hAnsi="宋体"/>
                <w:szCs w:val="21"/>
              </w:rPr>
              <w:t>制造商的名称和地址</w:t>
            </w:r>
          </w:p>
        </w:tc>
      </w:tr>
      <w:tr w14:paraId="4CFE6508">
        <w:tblPrEx>
          <w:tblCellMar>
            <w:top w:w="0" w:type="dxa"/>
            <w:left w:w="0" w:type="dxa"/>
            <w:bottom w:w="0" w:type="dxa"/>
            <w:right w:w="0" w:type="dxa"/>
          </w:tblCellMar>
        </w:tblPrEx>
        <w:tc>
          <w:tcPr>
            <w:tcW w:w="328"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584999B0">
            <w:pPr>
              <w:spacing w:line="264" w:lineRule="auto"/>
              <w:rPr>
                <w:rFonts w:ascii="Times New Roman" w:hAnsi="Times New Roman"/>
                <w:szCs w:val="21"/>
              </w:rPr>
            </w:pPr>
          </w:p>
        </w:tc>
        <w:tc>
          <w:tcPr>
            <w:tcW w:w="28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11DA364E">
            <w:pPr>
              <w:spacing w:line="264" w:lineRule="auto"/>
              <w:rPr>
                <w:rFonts w:ascii="Times New Roman" w:hAnsi="Times New Roman"/>
                <w:szCs w:val="21"/>
              </w:rPr>
            </w:pPr>
          </w:p>
        </w:tc>
        <w:tc>
          <w:tcPr>
            <w:tcW w:w="375"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020CAE1D">
            <w:pPr>
              <w:spacing w:line="264" w:lineRule="auto"/>
              <w:rPr>
                <w:rFonts w:ascii="Times New Roman" w:hAnsi="Times New Roman"/>
                <w:szCs w:val="21"/>
              </w:rPr>
            </w:pPr>
          </w:p>
        </w:tc>
        <w:tc>
          <w:tcPr>
            <w:tcW w:w="401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01EF78A9">
            <w:pPr>
              <w:spacing w:line="264" w:lineRule="auto"/>
              <w:rPr>
                <w:rFonts w:ascii="Times New Roman" w:hAnsi="Times New Roman"/>
                <w:szCs w:val="21"/>
              </w:rPr>
            </w:pPr>
            <w:r>
              <w:rPr>
                <w:rFonts w:hint="eastAsia" w:ascii="Times New Roman" w:hAnsi="宋体"/>
                <w:szCs w:val="21"/>
              </w:rPr>
              <w:t>包括灭菌过程和周期的预期用途</w:t>
            </w:r>
          </w:p>
        </w:tc>
      </w:tr>
      <w:tr w14:paraId="244588F3">
        <w:tblPrEx>
          <w:tblCellMar>
            <w:top w:w="0" w:type="dxa"/>
            <w:left w:w="0" w:type="dxa"/>
            <w:bottom w:w="0" w:type="dxa"/>
            <w:right w:w="0" w:type="dxa"/>
          </w:tblCellMar>
        </w:tblPrEx>
        <w:tc>
          <w:tcPr>
            <w:tcW w:w="328"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57FC1080">
            <w:pPr>
              <w:spacing w:line="264" w:lineRule="auto"/>
              <w:rPr>
                <w:rFonts w:ascii="Times New Roman" w:hAnsi="Times New Roman"/>
                <w:szCs w:val="21"/>
              </w:rPr>
            </w:pPr>
          </w:p>
        </w:tc>
        <w:tc>
          <w:tcPr>
            <w:tcW w:w="28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5A2D7A48">
            <w:pPr>
              <w:spacing w:line="264" w:lineRule="auto"/>
              <w:rPr>
                <w:rFonts w:ascii="Times New Roman" w:hAnsi="Times New Roman"/>
                <w:szCs w:val="21"/>
              </w:rPr>
            </w:pPr>
          </w:p>
        </w:tc>
        <w:tc>
          <w:tcPr>
            <w:tcW w:w="375"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2C9C5FCE">
            <w:pPr>
              <w:spacing w:line="264" w:lineRule="auto"/>
              <w:rPr>
                <w:rFonts w:ascii="Times New Roman" w:hAnsi="Times New Roman"/>
                <w:szCs w:val="21"/>
              </w:rPr>
            </w:pPr>
          </w:p>
        </w:tc>
        <w:tc>
          <w:tcPr>
            <w:tcW w:w="401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1DAE6D4E">
            <w:pPr>
              <w:spacing w:line="264" w:lineRule="auto"/>
              <w:rPr>
                <w:rFonts w:ascii="Times New Roman" w:hAnsi="Times New Roman"/>
                <w:szCs w:val="21"/>
              </w:rPr>
            </w:pPr>
            <w:r>
              <w:rPr>
                <w:rFonts w:hint="eastAsia" w:ascii="Times New Roman" w:hAnsi="宋体"/>
                <w:szCs w:val="21"/>
              </w:rPr>
              <w:t>充分的使用说明</w:t>
            </w:r>
          </w:p>
        </w:tc>
      </w:tr>
      <w:tr w14:paraId="07CA1386">
        <w:tblPrEx>
          <w:tblCellMar>
            <w:top w:w="0" w:type="dxa"/>
            <w:left w:w="0" w:type="dxa"/>
            <w:bottom w:w="0" w:type="dxa"/>
            <w:right w:w="0" w:type="dxa"/>
          </w:tblCellMar>
        </w:tblPrEx>
        <w:tc>
          <w:tcPr>
            <w:tcW w:w="328"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7161FC08">
            <w:pPr>
              <w:spacing w:line="264" w:lineRule="auto"/>
              <w:rPr>
                <w:rFonts w:ascii="Times New Roman" w:hAnsi="Times New Roman"/>
                <w:szCs w:val="21"/>
              </w:rPr>
            </w:pPr>
          </w:p>
        </w:tc>
        <w:tc>
          <w:tcPr>
            <w:tcW w:w="28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36B5CA14">
            <w:pPr>
              <w:spacing w:line="264" w:lineRule="auto"/>
              <w:rPr>
                <w:rFonts w:ascii="Times New Roman" w:hAnsi="Times New Roman"/>
                <w:szCs w:val="21"/>
              </w:rPr>
            </w:pPr>
          </w:p>
        </w:tc>
        <w:tc>
          <w:tcPr>
            <w:tcW w:w="375"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35D99FB5">
            <w:pPr>
              <w:spacing w:line="264" w:lineRule="auto"/>
              <w:rPr>
                <w:rFonts w:ascii="Times New Roman" w:hAnsi="Times New Roman"/>
                <w:szCs w:val="21"/>
              </w:rPr>
            </w:pPr>
          </w:p>
        </w:tc>
        <w:tc>
          <w:tcPr>
            <w:tcW w:w="401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0E601970">
            <w:pPr>
              <w:spacing w:line="264" w:lineRule="auto"/>
              <w:rPr>
                <w:rFonts w:ascii="Times New Roman" w:hAnsi="Times New Roman"/>
                <w:szCs w:val="21"/>
              </w:rPr>
            </w:pPr>
            <w:r>
              <w:rPr>
                <w:rFonts w:hint="eastAsia" w:ascii="Times New Roman" w:hAnsi="宋体"/>
                <w:szCs w:val="21"/>
              </w:rPr>
              <w:t>设计发生的变化的清楚介绍（变化前后的颜色变化举例）</w:t>
            </w:r>
          </w:p>
        </w:tc>
      </w:tr>
      <w:tr w14:paraId="1CEEFB63">
        <w:tblPrEx>
          <w:tblCellMar>
            <w:top w:w="0" w:type="dxa"/>
            <w:left w:w="0" w:type="dxa"/>
            <w:bottom w:w="0" w:type="dxa"/>
            <w:right w:w="0" w:type="dxa"/>
          </w:tblCellMar>
        </w:tblPrEx>
        <w:tc>
          <w:tcPr>
            <w:tcW w:w="328"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0F803CD8">
            <w:pPr>
              <w:spacing w:line="264" w:lineRule="auto"/>
              <w:rPr>
                <w:rFonts w:ascii="Times New Roman" w:hAnsi="Times New Roman"/>
                <w:szCs w:val="21"/>
              </w:rPr>
            </w:pPr>
          </w:p>
        </w:tc>
        <w:tc>
          <w:tcPr>
            <w:tcW w:w="28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1A230B6A">
            <w:pPr>
              <w:spacing w:line="264" w:lineRule="auto"/>
              <w:rPr>
                <w:rFonts w:ascii="Times New Roman" w:hAnsi="Times New Roman"/>
                <w:szCs w:val="21"/>
              </w:rPr>
            </w:pPr>
          </w:p>
        </w:tc>
        <w:tc>
          <w:tcPr>
            <w:tcW w:w="375"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1DC0B283">
            <w:pPr>
              <w:spacing w:line="264" w:lineRule="auto"/>
              <w:rPr>
                <w:rFonts w:ascii="Times New Roman" w:hAnsi="Times New Roman"/>
                <w:szCs w:val="21"/>
              </w:rPr>
            </w:pPr>
          </w:p>
        </w:tc>
        <w:tc>
          <w:tcPr>
            <w:tcW w:w="401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1062EE67">
            <w:pPr>
              <w:spacing w:line="264" w:lineRule="auto"/>
              <w:rPr>
                <w:rFonts w:ascii="Times New Roman" w:hAnsi="Times New Roman"/>
                <w:szCs w:val="21"/>
              </w:rPr>
            </w:pPr>
            <w:r>
              <w:rPr>
                <w:rFonts w:hint="eastAsia" w:ascii="Times New Roman" w:hAnsi="宋体"/>
                <w:szCs w:val="21"/>
              </w:rPr>
              <w:t>使用前后的存储条件</w:t>
            </w:r>
          </w:p>
        </w:tc>
      </w:tr>
      <w:tr w14:paraId="7CAA360A">
        <w:tblPrEx>
          <w:tblCellMar>
            <w:top w:w="0" w:type="dxa"/>
            <w:left w:w="0" w:type="dxa"/>
            <w:bottom w:w="0" w:type="dxa"/>
            <w:right w:w="0" w:type="dxa"/>
          </w:tblCellMar>
        </w:tblPrEx>
        <w:tc>
          <w:tcPr>
            <w:tcW w:w="328"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0DDC47C0">
            <w:pPr>
              <w:spacing w:line="264" w:lineRule="auto"/>
              <w:rPr>
                <w:rFonts w:ascii="Times New Roman" w:hAnsi="Times New Roman"/>
                <w:szCs w:val="21"/>
              </w:rPr>
            </w:pPr>
          </w:p>
        </w:tc>
        <w:tc>
          <w:tcPr>
            <w:tcW w:w="28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12198A57">
            <w:pPr>
              <w:spacing w:line="264" w:lineRule="auto"/>
              <w:rPr>
                <w:rFonts w:ascii="Times New Roman" w:hAnsi="Times New Roman"/>
                <w:szCs w:val="21"/>
              </w:rPr>
            </w:pPr>
          </w:p>
        </w:tc>
        <w:tc>
          <w:tcPr>
            <w:tcW w:w="375"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2C11AF2D">
            <w:pPr>
              <w:spacing w:line="264" w:lineRule="auto"/>
              <w:rPr>
                <w:rFonts w:ascii="Times New Roman" w:hAnsi="Times New Roman"/>
                <w:szCs w:val="21"/>
              </w:rPr>
            </w:pPr>
          </w:p>
        </w:tc>
        <w:tc>
          <w:tcPr>
            <w:tcW w:w="401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190B242A">
            <w:pPr>
              <w:spacing w:line="264" w:lineRule="auto"/>
              <w:rPr>
                <w:rFonts w:ascii="Times New Roman" w:hAnsi="Times New Roman"/>
                <w:szCs w:val="21"/>
              </w:rPr>
            </w:pPr>
            <w:r>
              <w:rPr>
                <w:rFonts w:hint="eastAsia" w:ascii="Times New Roman" w:hAnsi="宋体"/>
                <w:szCs w:val="21"/>
              </w:rPr>
              <w:t>未使用过的指示剂在特定存储条件下的保质期</w:t>
            </w:r>
          </w:p>
        </w:tc>
      </w:tr>
      <w:tr w14:paraId="7A12844B">
        <w:tblPrEx>
          <w:tblCellMar>
            <w:top w:w="0" w:type="dxa"/>
            <w:left w:w="0" w:type="dxa"/>
            <w:bottom w:w="0" w:type="dxa"/>
            <w:right w:w="0" w:type="dxa"/>
          </w:tblCellMar>
        </w:tblPrEx>
        <w:tc>
          <w:tcPr>
            <w:tcW w:w="328"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0999DAB9">
            <w:pPr>
              <w:spacing w:line="264" w:lineRule="auto"/>
              <w:rPr>
                <w:rFonts w:ascii="Times New Roman" w:hAnsi="Times New Roman"/>
                <w:szCs w:val="21"/>
              </w:rPr>
            </w:pPr>
          </w:p>
        </w:tc>
        <w:tc>
          <w:tcPr>
            <w:tcW w:w="28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7DA45AD9">
            <w:pPr>
              <w:spacing w:line="264" w:lineRule="auto"/>
              <w:rPr>
                <w:rFonts w:ascii="Times New Roman" w:hAnsi="Times New Roman"/>
                <w:szCs w:val="21"/>
              </w:rPr>
            </w:pPr>
          </w:p>
        </w:tc>
        <w:tc>
          <w:tcPr>
            <w:tcW w:w="375"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3A436514">
            <w:pPr>
              <w:spacing w:line="264" w:lineRule="auto"/>
              <w:rPr>
                <w:rFonts w:ascii="Times New Roman" w:hAnsi="Times New Roman"/>
                <w:szCs w:val="21"/>
              </w:rPr>
            </w:pPr>
          </w:p>
        </w:tc>
        <w:tc>
          <w:tcPr>
            <w:tcW w:w="401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173557BC">
            <w:pPr>
              <w:spacing w:line="264" w:lineRule="auto"/>
              <w:rPr>
                <w:rFonts w:ascii="Times New Roman" w:hAnsi="Times New Roman"/>
                <w:szCs w:val="21"/>
              </w:rPr>
            </w:pPr>
            <w:r>
              <w:rPr>
                <w:rFonts w:hint="eastAsia" w:ascii="Times New Roman" w:hAnsi="宋体"/>
                <w:szCs w:val="21"/>
              </w:rPr>
              <w:t>批号或其他标识符</w:t>
            </w:r>
          </w:p>
        </w:tc>
      </w:tr>
      <w:tr w14:paraId="1F56DCC4">
        <w:tblPrEx>
          <w:tblCellMar>
            <w:top w:w="0" w:type="dxa"/>
            <w:left w:w="0" w:type="dxa"/>
            <w:bottom w:w="0" w:type="dxa"/>
            <w:right w:w="0" w:type="dxa"/>
          </w:tblCellMar>
        </w:tblPrEx>
        <w:tc>
          <w:tcPr>
            <w:tcW w:w="328"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2A15A7F4">
            <w:pPr>
              <w:spacing w:line="264" w:lineRule="auto"/>
              <w:rPr>
                <w:rFonts w:ascii="Times New Roman" w:hAnsi="Times New Roman"/>
                <w:szCs w:val="21"/>
              </w:rPr>
            </w:pPr>
          </w:p>
        </w:tc>
        <w:tc>
          <w:tcPr>
            <w:tcW w:w="28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513C915E">
            <w:pPr>
              <w:spacing w:line="264" w:lineRule="auto"/>
              <w:rPr>
                <w:rFonts w:ascii="Times New Roman" w:hAnsi="Times New Roman"/>
                <w:szCs w:val="21"/>
              </w:rPr>
            </w:pPr>
          </w:p>
        </w:tc>
        <w:tc>
          <w:tcPr>
            <w:tcW w:w="375"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2EB71C1E">
            <w:pPr>
              <w:spacing w:line="264" w:lineRule="auto"/>
              <w:rPr>
                <w:rFonts w:ascii="Times New Roman" w:hAnsi="Times New Roman"/>
                <w:szCs w:val="21"/>
              </w:rPr>
            </w:pPr>
          </w:p>
        </w:tc>
        <w:tc>
          <w:tcPr>
            <w:tcW w:w="401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7BD85884">
            <w:pPr>
              <w:spacing w:line="264" w:lineRule="auto"/>
              <w:rPr>
                <w:rFonts w:ascii="Times New Roman" w:hAnsi="Times New Roman"/>
                <w:szCs w:val="21"/>
              </w:rPr>
            </w:pPr>
            <w:r>
              <w:rPr>
                <w:rFonts w:hint="eastAsia" w:ascii="Times New Roman" w:hAnsi="宋体"/>
                <w:szCs w:val="21"/>
              </w:rPr>
              <w:t>使用过程中需要的安全预防措施</w:t>
            </w:r>
          </w:p>
        </w:tc>
      </w:tr>
      <w:tr w14:paraId="6A866B70">
        <w:tblPrEx>
          <w:tblCellMar>
            <w:top w:w="0" w:type="dxa"/>
            <w:left w:w="0" w:type="dxa"/>
            <w:bottom w:w="0" w:type="dxa"/>
            <w:right w:w="0" w:type="dxa"/>
          </w:tblCellMar>
        </w:tblPrEx>
        <w:tc>
          <w:tcPr>
            <w:tcW w:w="328"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0A910BDA">
            <w:pPr>
              <w:spacing w:line="264" w:lineRule="auto"/>
              <w:rPr>
                <w:rFonts w:ascii="Times New Roman" w:hAnsi="Times New Roman"/>
                <w:szCs w:val="21"/>
              </w:rPr>
            </w:pPr>
          </w:p>
        </w:tc>
        <w:tc>
          <w:tcPr>
            <w:tcW w:w="28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073B176D">
            <w:pPr>
              <w:spacing w:line="264" w:lineRule="auto"/>
              <w:rPr>
                <w:rFonts w:ascii="Times New Roman" w:hAnsi="Times New Roman"/>
                <w:szCs w:val="21"/>
              </w:rPr>
            </w:pPr>
          </w:p>
        </w:tc>
        <w:tc>
          <w:tcPr>
            <w:tcW w:w="375"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09EA6DC5">
            <w:pPr>
              <w:spacing w:line="264" w:lineRule="auto"/>
              <w:rPr>
                <w:rFonts w:ascii="Times New Roman" w:hAnsi="Times New Roman"/>
                <w:szCs w:val="21"/>
              </w:rPr>
            </w:pPr>
          </w:p>
        </w:tc>
        <w:tc>
          <w:tcPr>
            <w:tcW w:w="401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55305DC1">
            <w:pPr>
              <w:spacing w:line="264" w:lineRule="auto"/>
              <w:rPr>
                <w:rFonts w:ascii="Times New Roman" w:hAnsi="Times New Roman"/>
                <w:szCs w:val="21"/>
              </w:rPr>
            </w:pPr>
            <w:r>
              <w:rPr>
                <w:rFonts w:hint="eastAsia" w:ascii="Times New Roman" w:hAnsi="宋体"/>
                <w:szCs w:val="21"/>
              </w:rPr>
              <w:t>终点颜色反应的稳定性</w:t>
            </w:r>
          </w:p>
        </w:tc>
      </w:tr>
      <w:tr w14:paraId="7089CC41">
        <w:tblPrEx>
          <w:tblCellMar>
            <w:top w:w="0" w:type="dxa"/>
            <w:left w:w="0" w:type="dxa"/>
            <w:bottom w:w="0" w:type="dxa"/>
            <w:right w:w="0" w:type="dxa"/>
          </w:tblCellMar>
        </w:tblPrEx>
        <w:tc>
          <w:tcPr>
            <w:tcW w:w="328"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30D1ED47">
            <w:pPr>
              <w:spacing w:line="264" w:lineRule="auto"/>
              <w:rPr>
                <w:rFonts w:ascii="Times New Roman" w:hAnsi="Times New Roman"/>
                <w:szCs w:val="21"/>
              </w:rPr>
            </w:pPr>
          </w:p>
        </w:tc>
        <w:tc>
          <w:tcPr>
            <w:tcW w:w="28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75B4A7E9">
            <w:pPr>
              <w:spacing w:line="264" w:lineRule="auto"/>
              <w:rPr>
                <w:rFonts w:ascii="Times New Roman" w:hAnsi="Times New Roman"/>
                <w:szCs w:val="21"/>
              </w:rPr>
            </w:pPr>
          </w:p>
        </w:tc>
        <w:tc>
          <w:tcPr>
            <w:tcW w:w="375"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0FF2E60F">
            <w:pPr>
              <w:spacing w:line="264" w:lineRule="auto"/>
              <w:rPr>
                <w:rFonts w:ascii="Times New Roman" w:hAnsi="Times New Roman"/>
                <w:szCs w:val="21"/>
              </w:rPr>
            </w:pPr>
          </w:p>
        </w:tc>
        <w:tc>
          <w:tcPr>
            <w:tcW w:w="401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1AE3DAAC">
            <w:pPr>
              <w:spacing w:line="264" w:lineRule="auto"/>
              <w:rPr>
                <w:rFonts w:ascii="Times New Roman" w:hAnsi="Times New Roman"/>
                <w:szCs w:val="21"/>
              </w:rPr>
            </w:pPr>
            <w:r>
              <w:rPr>
                <w:rFonts w:hint="eastAsia" w:ascii="Times New Roman" w:hAnsi="宋体"/>
                <w:szCs w:val="21"/>
              </w:rPr>
              <w:t>影响积分器变化所需要的最小暴露参数</w:t>
            </w:r>
          </w:p>
        </w:tc>
      </w:tr>
      <w:tr w14:paraId="08905A45">
        <w:tblPrEx>
          <w:tblCellMar>
            <w:top w:w="0" w:type="dxa"/>
            <w:left w:w="0" w:type="dxa"/>
            <w:bottom w:w="0" w:type="dxa"/>
            <w:right w:w="0" w:type="dxa"/>
          </w:tblCellMar>
        </w:tblPrEx>
        <w:tc>
          <w:tcPr>
            <w:tcW w:w="328" w:type="pct"/>
            <w:tcBorders>
              <w:top w:val="single" w:color="000000" w:sz="4" w:space="0"/>
              <w:left w:val="single" w:color="000000" w:sz="4" w:space="0"/>
              <w:bottom w:val="single" w:color="000000" w:sz="4" w:space="0"/>
              <w:right w:val="single" w:color="000000" w:sz="4" w:space="0"/>
            </w:tcBorders>
            <w:shd w:val="clear" w:color="auto" w:fill="9A9A9A"/>
            <w:tcMar>
              <w:left w:w="85" w:type="dxa"/>
              <w:right w:w="85" w:type="dxa"/>
            </w:tcMar>
            <w:vAlign w:val="center"/>
          </w:tcPr>
          <w:p w14:paraId="39FA4F24">
            <w:pPr>
              <w:spacing w:line="264" w:lineRule="auto"/>
              <w:rPr>
                <w:rFonts w:ascii="Times New Roman" w:hAnsi="Times New Roman"/>
                <w:szCs w:val="21"/>
              </w:rPr>
            </w:pPr>
          </w:p>
        </w:tc>
        <w:tc>
          <w:tcPr>
            <w:tcW w:w="281" w:type="pct"/>
            <w:tcBorders>
              <w:top w:val="single" w:color="000000" w:sz="4" w:space="0"/>
              <w:left w:val="single" w:color="000000" w:sz="4" w:space="0"/>
              <w:bottom w:val="single" w:color="000000" w:sz="4" w:space="0"/>
              <w:right w:val="single" w:color="000000" w:sz="4" w:space="0"/>
            </w:tcBorders>
            <w:shd w:val="clear" w:color="auto" w:fill="9A9A9A"/>
            <w:tcMar>
              <w:left w:w="85" w:type="dxa"/>
              <w:right w:w="85" w:type="dxa"/>
            </w:tcMar>
            <w:vAlign w:val="center"/>
          </w:tcPr>
          <w:p w14:paraId="00DE6516">
            <w:pPr>
              <w:spacing w:line="264" w:lineRule="auto"/>
              <w:rPr>
                <w:rFonts w:ascii="Times New Roman" w:hAnsi="Times New Roman"/>
                <w:szCs w:val="21"/>
              </w:rPr>
            </w:pPr>
          </w:p>
        </w:tc>
        <w:tc>
          <w:tcPr>
            <w:tcW w:w="375" w:type="pct"/>
            <w:tcBorders>
              <w:top w:val="single" w:color="000000" w:sz="4" w:space="0"/>
              <w:left w:val="single" w:color="000000" w:sz="4" w:space="0"/>
              <w:bottom w:val="single" w:color="000000" w:sz="4" w:space="0"/>
              <w:right w:val="single" w:color="000000" w:sz="4" w:space="0"/>
            </w:tcBorders>
            <w:shd w:val="clear" w:color="auto" w:fill="9A9A9A"/>
            <w:tcMar>
              <w:left w:w="85" w:type="dxa"/>
              <w:right w:w="85" w:type="dxa"/>
            </w:tcMar>
            <w:vAlign w:val="center"/>
          </w:tcPr>
          <w:p w14:paraId="29869C5F">
            <w:pPr>
              <w:spacing w:line="264" w:lineRule="auto"/>
              <w:rPr>
                <w:rFonts w:ascii="Times New Roman" w:hAnsi="Times New Roman"/>
                <w:szCs w:val="21"/>
              </w:rPr>
            </w:pPr>
          </w:p>
        </w:tc>
        <w:tc>
          <w:tcPr>
            <w:tcW w:w="401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6D62334A">
            <w:pPr>
              <w:spacing w:line="264" w:lineRule="auto"/>
              <w:rPr>
                <w:rFonts w:ascii="Times New Roman" w:hAnsi="Times New Roman"/>
                <w:szCs w:val="21"/>
              </w:rPr>
            </w:pPr>
            <w:r>
              <w:rPr>
                <w:rFonts w:ascii="Times New Roman" w:hAnsi="Times New Roman"/>
                <w:szCs w:val="21"/>
              </w:rPr>
              <w:t>Bowie Dick</w:t>
            </w:r>
            <w:r>
              <w:rPr>
                <w:rFonts w:hint="eastAsia" w:ascii="Times New Roman" w:hAnsi="宋体"/>
                <w:szCs w:val="21"/>
              </w:rPr>
              <w:t>测试的标签应该包含：</w:t>
            </w:r>
          </w:p>
        </w:tc>
      </w:tr>
      <w:tr w14:paraId="3E82AEC4">
        <w:tblPrEx>
          <w:tblCellMar>
            <w:top w:w="0" w:type="dxa"/>
            <w:left w:w="0" w:type="dxa"/>
            <w:bottom w:w="0" w:type="dxa"/>
            <w:right w:w="0" w:type="dxa"/>
          </w:tblCellMar>
        </w:tblPrEx>
        <w:tc>
          <w:tcPr>
            <w:tcW w:w="328"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6A03E1FF">
            <w:pPr>
              <w:spacing w:line="264" w:lineRule="auto"/>
              <w:rPr>
                <w:rFonts w:ascii="Times New Roman" w:hAnsi="Times New Roman"/>
                <w:szCs w:val="21"/>
              </w:rPr>
            </w:pPr>
          </w:p>
        </w:tc>
        <w:tc>
          <w:tcPr>
            <w:tcW w:w="28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0526CCB5">
            <w:pPr>
              <w:spacing w:line="264" w:lineRule="auto"/>
              <w:rPr>
                <w:rFonts w:ascii="Times New Roman" w:hAnsi="Times New Roman"/>
                <w:szCs w:val="21"/>
              </w:rPr>
            </w:pPr>
          </w:p>
        </w:tc>
        <w:tc>
          <w:tcPr>
            <w:tcW w:w="375"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5B87DA4A">
            <w:pPr>
              <w:spacing w:line="264" w:lineRule="auto"/>
              <w:rPr>
                <w:rFonts w:ascii="Times New Roman" w:hAnsi="Times New Roman"/>
                <w:szCs w:val="21"/>
              </w:rPr>
            </w:pPr>
          </w:p>
        </w:tc>
        <w:tc>
          <w:tcPr>
            <w:tcW w:w="401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569BC8CE">
            <w:pPr>
              <w:spacing w:line="264" w:lineRule="auto"/>
              <w:rPr>
                <w:rFonts w:ascii="Times New Roman" w:hAnsi="Times New Roman"/>
                <w:szCs w:val="21"/>
              </w:rPr>
            </w:pPr>
            <w:r>
              <w:rPr>
                <w:rFonts w:hint="eastAsia" w:ascii="Times New Roman" w:hAnsi="宋体"/>
                <w:szCs w:val="21"/>
              </w:rPr>
              <w:t>摆明该器械用于测定排气的声明</w:t>
            </w:r>
          </w:p>
        </w:tc>
      </w:tr>
      <w:tr w14:paraId="605BE0AA">
        <w:tblPrEx>
          <w:tblCellMar>
            <w:top w:w="0" w:type="dxa"/>
            <w:left w:w="0" w:type="dxa"/>
            <w:bottom w:w="0" w:type="dxa"/>
            <w:right w:w="0" w:type="dxa"/>
          </w:tblCellMar>
        </w:tblPrEx>
        <w:tc>
          <w:tcPr>
            <w:tcW w:w="328"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702A49D4">
            <w:pPr>
              <w:spacing w:line="264" w:lineRule="auto"/>
              <w:rPr>
                <w:rFonts w:ascii="Times New Roman" w:hAnsi="Times New Roman"/>
                <w:szCs w:val="21"/>
              </w:rPr>
            </w:pPr>
          </w:p>
        </w:tc>
        <w:tc>
          <w:tcPr>
            <w:tcW w:w="28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1A8423E6">
            <w:pPr>
              <w:spacing w:line="264" w:lineRule="auto"/>
              <w:rPr>
                <w:rFonts w:ascii="Times New Roman" w:hAnsi="Times New Roman"/>
                <w:szCs w:val="21"/>
              </w:rPr>
            </w:pPr>
          </w:p>
        </w:tc>
        <w:tc>
          <w:tcPr>
            <w:tcW w:w="375"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68B9E739">
            <w:pPr>
              <w:spacing w:line="264" w:lineRule="auto"/>
              <w:rPr>
                <w:rFonts w:ascii="Times New Roman" w:hAnsi="Times New Roman"/>
                <w:szCs w:val="21"/>
              </w:rPr>
            </w:pPr>
          </w:p>
        </w:tc>
        <w:tc>
          <w:tcPr>
            <w:tcW w:w="401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1D537B48">
            <w:pPr>
              <w:spacing w:line="264" w:lineRule="auto"/>
              <w:rPr>
                <w:rFonts w:ascii="Times New Roman" w:hAnsi="Times New Roman"/>
                <w:szCs w:val="21"/>
              </w:rPr>
            </w:pPr>
            <w:r>
              <w:rPr>
                <w:rFonts w:hint="eastAsia" w:ascii="Times New Roman" w:hAnsi="宋体"/>
                <w:szCs w:val="21"/>
              </w:rPr>
              <w:t>表明延长制造商所建议的</w:t>
            </w:r>
            <w:r>
              <w:rPr>
                <w:rFonts w:ascii="Times New Roman" w:hAnsi="Times New Roman"/>
                <w:szCs w:val="21"/>
              </w:rPr>
              <w:t>Bowie Dick</w:t>
            </w:r>
            <w:r>
              <w:rPr>
                <w:rFonts w:hint="eastAsia" w:ascii="Times New Roman" w:hAnsi="宋体"/>
                <w:szCs w:val="21"/>
              </w:rPr>
              <w:t>测试时间可能会由于滞留气体的扩散而导致错误的终点的警告信息</w:t>
            </w:r>
          </w:p>
        </w:tc>
      </w:tr>
      <w:tr w14:paraId="1DEE5286">
        <w:tblPrEx>
          <w:tblCellMar>
            <w:top w:w="0" w:type="dxa"/>
            <w:left w:w="0" w:type="dxa"/>
            <w:bottom w:w="0" w:type="dxa"/>
            <w:right w:w="0" w:type="dxa"/>
          </w:tblCellMar>
        </w:tblPrEx>
        <w:tc>
          <w:tcPr>
            <w:tcW w:w="328"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240C985E">
            <w:pPr>
              <w:spacing w:line="264" w:lineRule="auto"/>
              <w:rPr>
                <w:rFonts w:ascii="Times New Roman" w:hAnsi="Times New Roman"/>
                <w:szCs w:val="21"/>
              </w:rPr>
            </w:pPr>
          </w:p>
        </w:tc>
        <w:tc>
          <w:tcPr>
            <w:tcW w:w="281"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058044CD">
            <w:pPr>
              <w:spacing w:line="264" w:lineRule="auto"/>
              <w:rPr>
                <w:rFonts w:ascii="Times New Roman" w:hAnsi="Times New Roman"/>
                <w:szCs w:val="21"/>
              </w:rPr>
            </w:pPr>
          </w:p>
        </w:tc>
        <w:tc>
          <w:tcPr>
            <w:tcW w:w="375"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57966486">
            <w:pPr>
              <w:spacing w:line="264" w:lineRule="auto"/>
              <w:rPr>
                <w:rFonts w:ascii="Times New Roman" w:hAnsi="Times New Roman"/>
                <w:szCs w:val="21"/>
              </w:rPr>
            </w:pPr>
          </w:p>
        </w:tc>
        <w:tc>
          <w:tcPr>
            <w:tcW w:w="4016" w:type="pct"/>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14:paraId="5111601B">
            <w:pPr>
              <w:spacing w:line="264" w:lineRule="auto"/>
              <w:rPr>
                <w:rFonts w:ascii="Times New Roman" w:hAnsi="Times New Roman"/>
                <w:szCs w:val="21"/>
              </w:rPr>
            </w:pPr>
            <w:r>
              <w:rPr>
                <w:rFonts w:hint="eastAsia" w:ascii="Times New Roman" w:hAnsi="宋体"/>
                <w:szCs w:val="21"/>
              </w:rPr>
              <w:t>表明</w:t>
            </w:r>
            <w:r>
              <w:rPr>
                <w:rFonts w:ascii="Times New Roman" w:hAnsi="Times New Roman"/>
                <w:szCs w:val="21"/>
              </w:rPr>
              <w:t>Bowie Dick</w:t>
            </w:r>
            <w:r>
              <w:rPr>
                <w:rFonts w:hint="eastAsia" w:ascii="Times New Roman" w:hAnsi="宋体"/>
                <w:szCs w:val="21"/>
              </w:rPr>
              <w:t>测试应该在空的舱室内进行的警告信息</w:t>
            </w:r>
          </w:p>
        </w:tc>
      </w:tr>
    </w:tbl>
    <w:p w14:paraId="5CEA8191">
      <w:pPr>
        <w:spacing w:line="360" w:lineRule="auto"/>
        <w:rPr>
          <w:rFonts w:ascii="Times New Roman" w:hAnsi="Times New Roman"/>
          <w:szCs w:val="21"/>
        </w:rPr>
      </w:pPr>
    </w:p>
    <w:p w14:paraId="67055ACD">
      <w:pPr>
        <w:pBdr>
          <w:bottom w:val="single" w:color="auto" w:sz="4" w:space="1"/>
        </w:pBdr>
        <w:autoSpaceDE w:val="0"/>
        <w:autoSpaceDN w:val="0"/>
        <w:spacing w:line="360" w:lineRule="auto"/>
        <w:jc w:val="center"/>
        <w:rPr>
          <w:rFonts w:hint="eastAsia" w:eastAsia="宋体"/>
          <w:lang w:eastAsia="zh-CN"/>
        </w:rPr>
      </w:pPr>
    </w:p>
    <w:p w14:paraId="1B3A393F">
      <w:pPr>
        <w:pBdr>
          <w:bottom w:val="single" w:color="auto" w:sz="4" w:space="1"/>
        </w:pBdr>
        <w:autoSpaceDE w:val="0"/>
        <w:autoSpaceDN w:val="0"/>
        <w:spacing w:line="360" w:lineRule="auto"/>
        <w:jc w:val="center"/>
        <w:rPr>
          <w:rFonts w:hint="eastAsia" w:eastAsia="宋体"/>
          <w:lang w:eastAsia="zh-CN"/>
        </w:rPr>
      </w:pPr>
    </w:p>
    <w:p w14:paraId="13A280A9">
      <w:pPr>
        <w:pBdr>
          <w:bottom w:val="single" w:color="auto" w:sz="4" w:space="1"/>
        </w:pBdr>
        <w:autoSpaceDE w:val="0"/>
        <w:autoSpaceDN w:val="0"/>
        <w:spacing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14:paraId="4654AD0C">
      <w:pPr>
        <w:pStyle w:val="9"/>
      </w:pPr>
      <w:r>
        <w:rPr>
          <w:rStyle w:val="16"/>
          <w:rFonts w:ascii="Times New Roman" w:hAnsi="Times New Roman"/>
        </w:rPr>
        <w:footnoteRef/>
      </w:r>
      <w:r>
        <w:rPr>
          <w:rFonts w:hint="eastAsia" w:ascii="Times New Roman" w:hAnsi="Times New Roman"/>
        </w:rPr>
        <w:t>在灭菌期间这些器械会发生物理或化学反应。为了与公认标准中使用的术语保持一致，我们在本文件的化学指示剂中参考了它们。</w:t>
      </w:r>
    </w:p>
  </w:footnote>
  <w:footnote w:id="1">
    <w:p w14:paraId="71F1CA93">
      <w:pPr>
        <w:pStyle w:val="9"/>
      </w:pPr>
      <w:r>
        <w:rPr>
          <w:rStyle w:val="16"/>
          <w:rFonts w:ascii="Times New Roman" w:hAnsi="Times New Roman"/>
        </w:rPr>
        <w:footnoteRef/>
      </w:r>
      <w:r>
        <w:rPr>
          <w:rFonts w:hint="eastAsia" w:ascii="Times New Roman" w:hAnsi="Times New Roman"/>
        </w:rPr>
        <w:t>对于这些器械，请参见</w:t>
      </w:r>
      <w:r>
        <w:fldChar w:fldCharType="begin"/>
      </w:r>
      <w:r>
        <w:instrText xml:space="preserve"> HYPERLINK "http://www.fda.gov/cdrh/ode/397.html" </w:instrText>
      </w:r>
      <w:r>
        <w:fldChar w:fldCharType="separate"/>
      </w:r>
      <w:r>
        <w:rPr>
          <w:rStyle w:val="14"/>
          <w:rFonts w:ascii="Times New Roman" w:hAnsi="Times New Roman"/>
          <w:color w:val="auto"/>
          <w:u w:val="none"/>
        </w:rPr>
        <w:t>http://www.fda.gov/cdrh/ode/397.html.</w:t>
      </w:r>
      <w:r>
        <w:rPr>
          <w:rStyle w:val="14"/>
          <w:rFonts w:ascii="Times New Roman" w:hAnsi="Times New Roman"/>
          <w:color w:val="auto"/>
          <w:u w:val="none"/>
        </w:rPr>
        <w:fldChar w:fldCharType="end"/>
      </w:r>
      <w:r>
        <w:rPr>
          <w:rFonts w:hint="eastAsia" w:ascii="Times New Roman" w:hAnsi="Times New Roman"/>
        </w:rPr>
        <w:t>第</w:t>
      </w:r>
      <w:r>
        <w:rPr>
          <w:rFonts w:ascii="Times New Roman" w:hAnsi="Times New Roman"/>
        </w:rPr>
        <w:t>III.K</w:t>
      </w:r>
      <w:r>
        <w:rPr>
          <w:rFonts w:hint="eastAsia" w:ascii="Times New Roman" w:hAnsi="Times New Roman"/>
        </w:rPr>
        <w:t>部分《对工业和美国食品药品管理局审查人员的指南：液态化学灭菌剂</w:t>
      </w:r>
      <w:r>
        <w:rPr>
          <w:rFonts w:ascii="Times New Roman" w:hAnsi="Times New Roman"/>
        </w:rPr>
        <w:t>/</w:t>
      </w:r>
      <w:r>
        <w:rPr>
          <w:rFonts w:hint="eastAsia" w:ascii="Times New Roman" w:hAnsi="Times New Roman"/>
        </w:rPr>
        <w:t>高水平消毒剂售前通知</w:t>
      </w:r>
      <w:r>
        <w:rPr>
          <w:rFonts w:ascii="Times New Roman" w:hAnsi="Times New Roman"/>
        </w:rPr>
        <w:t>[510(k)]</w:t>
      </w:r>
      <w:r>
        <w:rPr>
          <w:rFonts w:hint="eastAsia" w:ascii="Times New Roman" w:hAnsi="Times New Roman"/>
        </w:rPr>
        <w:t>提交报告的内容和格式》。</w:t>
      </w:r>
    </w:p>
  </w:footnote>
  <w:footnote w:id="2">
    <w:p w14:paraId="1DA92666">
      <w:pPr>
        <w:pStyle w:val="9"/>
      </w:pPr>
      <w:r>
        <w:rPr>
          <w:rStyle w:val="16"/>
          <w:rFonts w:ascii="Times New Roman" w:hAnsi="Times New Roman"/>
        </w:rPr>
        <w:footnoteRef/>
      </w:r>
      <w:r>
        <w:rPr>
          <w:rFonts w:hint="eastAsia" w:ascii="Times New Roman" w:hAnsi="Times New Roman"/>
        </w:rPr>
        <w:t>这是所引用的标准中对差值的定义。但是，本指导文件中并不讨论辐射灭菌，因为医疗机构通常不采用这种灭菌方法。</w:t>
      </w:r>
    </w:p>
  </w:footnote>
  <w:footnote w:id="3">
    <w:p w14:paraId="2EDBD479">
      <w:pPr>
        <w:pStyle w:val="9"/>
      </w:pPr>
      <w:r>
        <w:rPr>
          <w:rStyle w:val="16"/>
          <w:rFonts w:ascii="Times New Roman" w:hAnsi="Times New Roman"/>
        </w:rPr>
        <w:footnoteRef/>
      </w:r>
      <w:r>
        <w:rPr>
          <w:rFonts w:hint="eastAsia" w:ascii="Times New Roman" w:hAnsi="Times New Roman"/>
        </w:rPr>
        <w:t>参见获得认可的标准符合性声明所需要素（筛选所有上市前通知</w:t>
      </w:r>
      <w:r>
        <w:rPr>
          <w:rFonts w:ascii="Times New Roman" w:hAnsi="Times New Roman"/>
        </w:rPr>
        <w:t>[510(k)]</w:t>
      </w:r>
      <w:r>
        <w:rPr>
          <w:rFonts w:hint="eastAsia" w:ascii="Times New Roman" w:hAnsi="Times New Roman"/>
        </w:rPr>
        <w:t>提交件的检查表）</w:t>
      </w:r>
      <w:r>
        <w:fldChar w:fldCharType="begin"/>
      </w:r>
      <w:r>
        <w:instrText xml:space="preserve"> HYPERLINK "http://www.fda.gov/cdrh/ode/reqrecstand.html" </w:instrText>
      </w:r>
      <w:r>
        <w:fldChar w:fldCharType="separate"/>
      </w:r>
      <w:r>
        <w:rPr>
          <w:rFonts w:ascii="Times New Roman" w:hAnsi="Times New Roman"/>
          <w:color w:val="0000FF"/>
          <w:u w:val="single"/>
        </w:rPr>
        <w:t>http://www.fda.gov/cdrh/ode/reqrecstand.html</w:t>
      </w:r>
      <w:r>
        <w:rPr>
          <w:rFonts w:ascii="Times New Roman" w:hAnsi="Times New Roman"/>
          <w:color w:val="0000FF"/>
          <w:u w:val="single"/>
        </w:rPr>
        <w:fldChar w:fldCharType="end"/>
      </w:r>
      <w:r>
        <w:rPr>
          <w:rFonts w:hint="eastAsia" w:ascii="Times New Roman" w:hAnsi="Times New Roman"/>
          <w:color w:val="0000FF"/>
        </w:rPr>
        <w:t>。</w:t>
      </w:r>
    </w:p>
  </w:footnote>
  <w:footnote w:id="4">
    <w:p w14:paraId="07C4F3F7">
      <w:pPr>
        <w:pStyle w:val="9"/>
      </w:pPr>
      <w:r>
        <w:rPr>
          <w:rStyle w:val="16"/>
        </w:rPr>
        <w:footnoteRef/>
      </w:r>
      <w:r>
        <w:rPr>
          <w:rFonts w:hint="eastAsia" w:ascii="Times New Roman" w:hAnsi="宋体"/>
          <w:szCs w:val="21"/>
        </w:rPr>
        <w:t>这些测试包也被称为灭菌过程挑战装置（</w:t>
      </w:r>
      <w:r>
        <w:rPr>
          <w:rFonts w:ascii="Times New Roman" w:hAnsi="Times New Roman"/>
          <w:szCs w:val="21"/>
        </w:rPr>
        <w:t>PCDs</w:t>
      </w:r>
      <w:r>
        <w:rPr>
          <w:rFonts w:hint="eastAsia" w:ascii="Times New Roman" w:hAnsi="宋体"/>
          <w:szCs w:val="21"/>
        </w:rPr>
        <w:t>）。</w:t>
      </w:r>
    </w:p>
  </w:footnote>
  <w:footnote w:id="5">
    <w:p w14:paraId="0BED74D4">
      <w:pPr>
        <w:pStyle w:val="9"/>
      </w:pPr>
      <w:r>
        <w:rPr>
          <w:rStyle w:val="16"/>
        </w:rPr>
        <w:footnoteRef/>
      </w:r>
      <w:r>
        <w:rPr>
          <w:rFonts w:hint="eastAsia" w:ascii="Times New Roman" w:hAnsi="宋体"/>
          <w:szCs w:val="21"/>
        </w:rPr>
        <w:t>虽然</w:t>
      </w:r>
      <w:r>
        <w:rPr>
          <w:rFonts w:ascii="Times New Roman" w:hAnsi="Times New Roman"/>
          <w:szCs w:val="21"/>
        </w:rPr>
        <w:t>510(k)</w:t>
      </w:r>
      <w:r>
        <w:rPr>
          <w:rFonts w:hint="eastAsia" w:ascii="Times New Roman" w:hAnsi="宋体"/>
          <w:szCs w:val="21"/>
        </w:rPr>
        <w:t>审批不需要最终的标签，但是在器械进入州际贸易之前，最终的标签也必须符合《美国联邦法规》第二十一章第</w:t>
      </w:r>
      <w:r>
        <w:rPr>
          <w:rFonts w:ascii="Times New Roman" w:hAnsi="Times New Roman"/>
          <w:szCs w:val="21"/>
        </w:rPr>
        <w:t>801</w:t>
      </w:r>
      <w:r>
        <w:rPr>
          <w:rFonts w:hint="eastAsia" w:ascii="Times New Roman" w:hAnsi="宋体"/>
          <w:szCs w:val="21"/>
        </w:rPr>
        <w:t>条的要求。本指南中有关标签的建议与</w:t>
      </w:r>
      <w:r>
        <w:rPr>
          <w:rFonts w:ascii="Times New Roman" w:hAnsi="Times New Roman"/>
          <w:szCs w:val="21"/>
        </w:rPr>
        <w:t>801</w:t>
      </w:r>
      <w:r>
        <w:rPr>
          <w:rFonts w:hint="eastAsia" w:ascii="Times New Roman" w:hAnsi="宋体"/>
          <w:szCs w:val="21"/>
        </w:rPr>
        <w:t>部分的要求保持一致。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5D5E">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4C4D9">
    <w:pPr>
      <w:pStyle w:val="7"/>
      <w:pBdr>
        <w:bottom w:val="none" w:color="auto" w:sz="0" w:space="0"/>
      </w:pBdr>
      <w:rPr>
        <w:b/>
      </w:rPr>
    </w:pPr>
    <w:r>
      <w:rPr>
        <w:rFonts w:hint="eastAsia"/>
        <w:b/>
        <w:i/>
      </w:rPr>
      <w:t>包含不具有约束力的建议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404"/>
    <w:multiLevelType w:val="multilevel"/>
    <w:tmpl w:val="00000404"/>
    <w:lvl w:ilvl="0" w:tentative="0">
      <w:start w:val="1"/>
      <w:numFmt w:val="decimal"/>
      <w:lvlText w:val="%1"/>
      <w:lvlJc w:val="left"/>
      <w:pPr>
        <w:ind w:hanging="136"/>
      </w:pPr>
      <w:rPr>
        <w:rFonts w:ascii="Times New Roman" w:hAnsi="Times New Roman" w:cs="Times New Roman"/>
        <w:b w:val="0"/>
        <w:bCs w:val="0"/>
        <w:w w:val="100"/>
        <w:position w:val="0"/>
        <w:sz w:val="21"/>
        <w:szCs w:val="21"/>
        <w:vertAlign w:val="superscript"/>
      </w:rPr>
    </w:lvl>
    <w:lvl w:ilvl="1" w:tentative="0">
      <w:start w:val="1"/>
      <w:numFmt w:val="decimal"/>
      <w:lvlText w:val="%2."/>
      <w:lvlJc w:val="left"/>
      <w:pPr>
        <w:ind w:hanging="241"/>
      </w:pPr>
      <w:rPr>
        <w:rFonts w:ascii="Times New Roman" w:hAnsi="Times New Roman" w:cs="Times New Roman"/>
        <w:b w:val="0"/>
        <w:bCs w:val="0"/>
        <w:sz w:val="21"/>
        <w:szCs w:val="21"/>
      </w:rPr>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1BAB33DA"/>
    <w:multiLevelType w:val="multilevel"/>
    <w:tmpl w:val="1BAB33DA"/>
    <w:lvl w:ilvl="0" w:tentative="0">
      <w:start w:val="1"/>
      <w:numFmt w:val="bullet"/>
      <w:lvlText w:val="●"/>
      <w:lvlJc w:val="left"/>
      <w:pPr>
        <w:tabs>
          <w:tab w:val="left" w:pos="420"/>
        </w:tabs>
        <w:ind w:left="420" w:hanging="420"/>
      </w:pPr>
      <w:rPr>
        <w:rFonts w:hint="default" w:ascii="Times New Roman" w:hAnsi="Times New Roman"/>
        <w:b w:val="0"/>
        <w:w w:val="131"/>
        <w:sz w:val="24"/>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1C7851C6"/>
    <w:multiLevelType w:val="multilevel"/>
    <w:tmpl w:val="1C7851C6"/>
    <w:lvl w:ilvl="0" w:tentative="0">
      <w:start w:val="1"/>
      <w:numFmt w:val="bullet"/>
      <w:lvlText w:val="●"/>
      <w:lvlJc w:val="left"/>
      <w:pPr>
        <w:tabs>
          <w:tab w:val="left" w:pos="420"/>
        </w:tabs>
        <w:ind w:left="420" w:hanging="420"/>
      </w:pPr>
      <w:rPr>
        <w:rFonts w:hint="default" w:ascii="Times New Roman" w:hAnsi="Times New Roman"/>
        <w:b w:val="0"/>
        <w:w w:val="131"/>
        <w:sz w:val="24"/>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26DC743A"/>
    <w:multiLevelType w:val="multilevel"/>
    <w:tmpl w:val="26DC743A"/>
    <w:lvl w:ilvl="0" w:tentative="0">
      <w:start w:val="1"/>
      <w:numFmt w:val="bullet"/>
      <w:lvlText w:val="●"/>
      <w:lvlJc w:val="left"/>
      <w:pPr>
        <w:tabs>
          <w:tab w:val="left" w:pos="420"/>
        </w:tabs>
        <w:ind w:left="420" w:hanging="420"/>
      </w:pPr>
      <w:rPr>
        <w:rFonts w:hint="default" w:ascii="Times New Roman" w:hAnsi="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10B72C0"/>
    <w:multiLevelType w:val="multilevel"/>
    <w:tmpl w:val="410B72C0"/>
    <w:lvl w:ilvl="0" w:tentative="0">
      <w:start w:val="1"/>
      <w:numFmt w:val="bullet"/>
      <w:lvlText w:val="●"/>
      <w:lvlJc w:val="left"/>
      <w:pPr>
        <w:tabs>
          <w:tab w:val="left" w:pos="420"/>
        </w:tabs>
        <w:ind w:left="420" w:hanging="420"/>
      </w:pPr>
      <w:rPr>
        <w:rFonts w:hint="default" w:ascii="Times New Roman" w:hAnsi="Times New Roman"/>
        <w:b w:val="0"/>
        <w:w w:val="131"/>
        <w:sz w:val="24"/>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5">
    <w:nsid w:val="41522758"/>
    <w:multiLevelType w:val="multilevel"/>
    <w:tmpl w:val="41522758"/>
    <w:lvl w:ilvl="0" w:tentative="0">
      <w:start w:val="1"/>
      <w:numFmt w:val="bullet"/>
      <w:lvlText w:val="●"/>
      <w:lvlJc w:val="left"/>
      <w:pPr>
        <w:tabs>
          <w:tab w:val="left" w:pos="420"/>
        </w:tabs>
        <w:ind w:left="420" w:hanging="420"/>
      </w:pPr>
      <w:rPr>
        <w:rFonts w:hint="default" w:ascii="Times New Roman" w:hAnsi="Times New Roman"/>
        <w:sz w:val="21"/>
        <w:vertAlign w:val="baseline"/>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4FC321EC"/>
    <w:multiLevelType w:val="multilevel"/>
    <w:tmpl w:val="4FC321EC"/>
    <w:lvl w:ilvl="0" w:tentative="0">
      <w:start w:val="1"/>
      <w:numFmt w:val="bullet"/>
      <w:lvlText w:val="●"/>
      <w:lvlJc w:val="left"/>
      <w:pPr>
        <w:tabs>
          <w:tab w:val="left" w:pos="420"/>
        </w:tabs>
        <w:ind w:left="420" w:hanging="420"/>
      </w:pPr>
      <w:rPr>
        <w:rFonts w:hint="default" w:ascii="Times New Roman" w:hAnsi="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62D9685A"/>
    <w:multiLevelType w:val="multilevel"/>
    <w:tmpl w:val="62D9685A"/>
    <w:lvl w:ilvl="0" w:tentative="0">
      <w:start w:val="1"/>
      <w:numFmt w:val="bullet"/>
      <w:lvlText w:val="●"/>
      <w:lvlJc w:val="left"/>
      <w:pPr>
        <w:tabs>
          <w:tab w:val="left" w:pos="420"/>
        </w:tabs>
        <w:ind w:left="420" w:hanging="420"/>
      </w:pPr>
      <w:rPr>
        <w:rFonts w:hint="default" w:ascii="Times New Roman" w:hAnsi="Times New Roman"/>
        <w:b/>
        <w:sz w:val="21"/>
      </w:rPr>
    </w:lvl>
    <w:lvl w:ilvl="1" w:tentative="0">
      <w:start w:val="1"/>
      <w:numFmt w:val="upperLetter"/>
      <w:lvlText w:val="%2."/>
      <w:lvlJc w:val="left"/>
      <w:pPr>
        <w:ind w:hanging="451"/>
      </w:pPr>
      <w:rPr>
        <w:rFonts w:ascii="Times New Roman" w:hAnsi="Times New Roman" w:cs="Times New Roman"/>
        <w:b/>
        <w:bCs/>
        <w:i w:val="0"/>
        <w:iCs w:val="0"/>
        <w:spacing w:val="0"/>
        <w:w w:val="100"/>
        <w:sz w:val="21"/>
        <w:szCs w:val="21"/>
      </w:rPr>
    </w:lvl>
    <w:lvl w:ilvl="2" w:tentative="0">
      <w:start w:val="0"/>
      <w:numFmt w:val="bullet"/>
      <w:lvlText w:val="•"/>
      <w:lvlJc w:val="left"/>
      <w:pPr>
        <w:ind w:hanging="360"/>
      </w:pPr>
      <w:rPr>
        <w:rFonts w:ascii="Arial" w:hAnsi="Arial"/>
        <w:b w:val="0"/>
        <w:w w:val="131"/>
        <w:sz w:val="24"/>
      </w:rPr>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3"/>
  </w:num>
  <w:num w:numId="2">
    <w:abstractNumId w:val="5"/>
  </w:num>
  <w:num w:numId="3">
    <w:abstractNumId w:val="0"/>
  </w:num>
  <w:num w:numId="4">
    <w:abstractNumId w:val="6"/>
  </w:num>
  <w:num w:numId="5">
    <w:abstractNumId w:val="2"/>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2"/>
    <w:footnote w:id="13"/>
  </w:foot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D096F"/>
    <w:rsid w:val="00004467"/>
    <w:rsid w:val="00040018"/>
    <w:rsid w:val="000457A1"/>
    <w:rsid w:val="000C4749"/>
    <w:rsid w:val="00115610"/>
    <w:rsid w:val="00117FBF"/>
    <w:rsid w:val="00172B97"/>
    <w:rsid w:val="001B5946"/>
    <w:rsid w:val="002207E0"/>
    <w:rsid w:val="00292D46"/>
    <w:rsid w:val="002A0A0D"/>
    <w:rsid w:val="002E2E1A"/>
    <w:rsid w:val="002F2635"/>
    <w:rsid w:val="00342347"/>
    <w:rsid w:val="003730E6"/>
    <w:rsid w:val="003979C1"/>
    <w:rsid w:val="003D585E"/>
    <w:rsid w:val="003F23BF"/>
    <w:rsid w:val="0041518F"/>
    <w:rsid w:val="0044460D"/>
    <w:rsid w:val="00460168"/>
    <w:rsid w:val="004E34C2"/>
    <w:rsid w:val="005142CB"/>
    <w:rsid w:val="00577AC5"/>
    <w:rsid w:val="005F6975"/>
    <w:rsid w:val="00605289"/>
    <w:rsid w:val="006664D7"/>
    <w:rsid w:val="006D6702"/>
    <w:rsid w:val="006F47B5"/>
    <w:rsid w:val="00722235"/>
    <w:rsid w:val="00765E92"/>
    <w:rsid w:val="007C60A5"/>
    <w:rsid w:val="007F7652"/>
    <w:rsid w:val="00832A05"/>
    <w:rsid w:val="008B515E"/>
    <w:rsid w:val="008E1F56"/>
    <w:rsid w:val="00904B8B"/>
    <w:rsid w:val="009241E8"/>
    <w:rsid w:val="0097677F"/>
    <w:rsid w:val="00981C42"/>
    <w:rsid w:val="009C7304"/>
    <w:rsid w:val="009F1EA3"/>
    <w:rsid w:val="00A002CE"/>
    <w:rsid w:val="00A36919"/>
    <w:rsid w:val="00A36D07"/>
    <w:rsid w:val="00A423A8"/>
    <w:rsid w:val="00A70892"/>
    <w:rsid w:val="00AA1E5F"/>
    <w:rsid w:val="00AB29B5"/>
    <w:rsid w:val="00AD096F"/>
    <w:rsid w:val="00B21B5E"/>
    <w:rsid w:val="00B4579B"/>
    <w:rsid w:val="00B52A23"/>
    <w:rsid w:val="00B776D6"/>
    <w:rsid w:val="00BE7878"/>
    <w:rsid w:val="00C72192"/>
    <w:rsid w:val="00CB1C34"/>
    <w:rsid w:val="00CC29D8"/>
    <w:rsid w:val="00CD2C49"/>
    <w:rsid w:val="00CF047A"/>
    <w:rsid w:val="00D02201"/>
    <w:rsid w:val="00D31BE8"/>
    <w:rsid w:val="00DC2974"/>
    <w:rsid w:val="00E35058"/>
    <w:rsid w:val="00E5369C"/>
    <w:rsid w:val="00E65809"/>
    <w:rsid w:val="00E973EF"/>
    <w:rsid w:val="00EC3C22"/>
    <w:rsid w:val="00EE055D"/>
    <w:rsid w:val="00EF2289"/>
    <w:rsid w:val="00F1016B"/>
    <w:rsid w:val="00F42579"/>
    <w:rsid w:val="00F618F6"/>
    <w:rsid w:val="00F84F48"/>
    <w:rsid w:val="00F85246"/>
    <w:rsid w:val="00F903AF"/>
    <w:rsid w:val="00FA32B5"/>
    <w:rsid w:val="00FA62A5"/>
    <w:rsid w:val="00FF67E2"/>
    <w:rsid w:val="182C605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ocked="1"/>
    <w:lsdException w:qFormat="1" w:unhideWhenUsed="0" w:uiPriority="99"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6"/>
    <w:semiHidden/>
    <w:qFormat/>
    <w:uiPriority w:val="99"/>
    <w:pPr>
      <w:shd w:val="clear" w:color="auto" w:fill="000080"/>
    </w:pPr>
  </w:style>
  <w:style w:type="paragraph" w:styleId="3">
    <w:name w:val="annotation text"/>
    <w:basedOn w:val="1"/>
    <w:link w:val="27"/>
    <w:semiHidden/>
    <w:qFormat/>
    <w:uiPriority w:val="99"/>
    <w:pPr>
      <w:jc w:val="left"/>
    </w:pPr>
  </w:style>
  <w:style w:type="paragraph" w:styleId="4">
    <w:name w:val="Body Text"/>
    <w:basedOn w:val="1"/>
    <w:link w:val="21"/>
    <w:qFormat/>
    <w:uiPriority w:val="99"/>
    <w:pPr>
      <w:autoSpaceDE w:val="0"/>
      <w:autoSpaceDN w:val="0"/>
      <w:adjustRightInd w:val="0"/>
      <w:ind w:left="104"/>
      <w:jc w:val="left"/>
    </w:pPr>
    <w:rPr>
      <w:rFonts w:ascii="Times New Roman" w:hAnsi="Times New Roman"/>
      <w:kern w:val="0"/>
      <w:sz w:val="24"/>
      <w:szCs w:val="20"/>
    </w:rPr>
  </w:style>
  <w:style w:type="paragraph" w:styleId="5">
    <w:name w:val="Balloon Text"/>
    <w:basedOn w:val="1"/>
    <w:link w:val="20"/>
    <w:semiHidden/>
    <w:qFormat/>
    <w:uiPriority w:val="99"/>
    <w:rPr>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semiHidden/>
    <w:qFormat/>
    <w:locked/>
    <w:uiPriority w:val="99"/>
  </w:style>
  <w:style w:type="paragraph" w:styleId="9">
    <w:name w:val="footnote text"/>
    <w:basedOn w:val="1"/>
    <w:link w:val="25"/>
    <w:semiHidden/>
    <w:qFormat/>
    <w:uiPriority w:val="99"/>
    <w:pPr>
      <w:snapToGrid w:val="0"/>
      <w:jc w:val="left"/>
    </w:pPr>
    <w:rPr>
      <w:sz w:val="18"/>
      <w:szCs w:val="18"/>
    </w:rPr>
  </w:style>
  <w:style w:type="paragraph" w:styleId="10">
    <w:name w:val="toc 2"/>
    <w:basedOn w:val="1"/>
    <w:next w:val="1"/>
    <w:autoRedefine/>
    <w:semiHidden/>
    <w:qFormat/>
    <w:locked/>
    <w:uiPriority w:val="99"/>
    <w:pPr>
      <w:ind w:left="420" w:leftChars="200"/>
    </w:pPr>
  </w:style>
  <w:style w:type="paragraph" w:styleId="11">
    <w:name w:val="annotation subject"/>
    <w:basedOn w:val="3"/>
    <w:next w:val="3"/>
    <w:link w:val="28"/>
    <w:semiHidden/>
    <w:qFormat/>
    <w:uiPriority w:val="99"/>
    <w:rPr>
      <w:b/>
      <w:bCs/>
    </w:rPr>
  </w:style>
  <w:style w:type="character" w:styleId="14">
    <w:name w:val="Hyperlink"/>
    <w:qFormat/>
    <w:uiPriority w:val="99"/>
    <w:rPr>
      <w:rFonts w:cs="Times New Roman"/>
      <w:color w:val="0000FF"/>
      <w:u w:val="single"/>
    </w:rPr>
  </w:style>
  <w:style w:type="character" w:styleId="15">
    <w:name w:val="annotation reference"/>
    <w:semiHidden/>
    <w:qFormat/>
    <w:uiPriority w:val="99"/>
    <w:rPr>
      <w:rFonts w:cs="Times New Roman"/>
      <w:sz w:val="21"/>
      <w:szCs w:val="21"/>
    </w:rPr>
  </w:style>
  <w:style w:type="character" w:styleId="16">
    <w:name w:val="footnote reference"/>
    <w:semiHidden/>
    <w:qFormat/>
    <w:uiPriority w:val="99"/>
    <w:rPr>
      <w:rFonts w:cs="Times New Roman"/>
      <w:vertAlign w:val="superscript"/>
    </w:rPr>
  </w:style>
  <w:style w:type="character" w:customStyle="1" w:styleId="17">
    <w:name w:val="页眉 Char"/>
    <w:link w:val="7"/>
    <w:locked/>
    <w:uiPriority w:val="99"/>
    <w:rPr>
      <w:rFonts w:cs="Times New Roman"/>
      <w:sz w:val="18"/>
      <w:szCs w:val="18"/>
    </w:rPr>
  </w:style>
  <w:style w:type="character" w:customStyle="1" w:styleId="18">
    <w:name w:val="页脚 Char"/>
    <w:link w:val="6"/>
    <w:qFormat/>
    <w:locked/>
    <w:uiPriority w:val="99"/>
    <w:rPr>
      <w:rFonts w:cs="Times New Roman"/>
      <w:sz w:val="18"/>
      <w:szCs w:val="18"/>
    </w:rPr>
  </w:style>
  <w:style w:type="paragraph" w:styleId="19">
    <w:name w:val="List Paragraph"/>
    <w:basedOn w:val="1"/>
    <w:qFormat/>
    <w:uiPriority w:val="99"/>
    <w:pPr>
      <w:ind w:firstLine="420" w:firstLineChars="200"/>
    </w:pPr>
  </w:style>
  <w:style w:type="character" w:customStyle="1" w:styleId="20">
    <w:name w:val="批注框文本 Char"/>
    <w:link w:val="5"/>
    <w:semiHidden/>
    <w:locked/>
    <w:uiPriority w:val="99"/>
    <w:rPr>
      <w:rFonts w:cs="Times New Roman"/>
      <w:sz w:val="18"/>
      <w:szCs w:val="18"/>
    </w:rPr>
  </w:style>
  <w:style w:type="character" w:customStyle="1" w:styleId="21">
    <w:name w:val="正文文本 Char"/>
    <w:link w:val="4"/>
    <w:qFormat/>
    <w:locked/>
    <w:uiPriority w:val="99"/>
    <w:rPr>
      <w:rFonts w:ascii="Times New Roman" w:hAnsi="Times New Roman"/>
      <w:kern w:val="0"/>
      <w:sz w:val="24"/>
    </w:rPr>
  </w:style>
  <w:style w:type="character" w:customStyle="1" w:styleId="22">
    <w:name w:val="Body Text Char1"/>
    <w:semiHidden/>
    <w:qFormat/>
    <w:locked/>
    <w:uiPriority w:val="99"/>
    <w:rPr>
      <w:rFonts w:cs="Times New Roman"/>
    </w:rPr>
  </w:style>
  <w:style w:type="character" w:customStyle="1" w:styleId="23">
    <w:name w:val="正文文本 字符1"/>
    <w:semiHidden/>
    <w:qFormat/>
    <w:uiPriority w:val="99"/>
    <w:rPr>
      <w:rFonts w:cs="Times New Roman"/>
    </w:rPr>
  </w:style>
  <w:style w:type="paragraph" w:customStyle="1" w:styleId="24">
    <w:name w:val="Table Paragraph"/>
    <w:basedOn w:val="1"/>
    <w:qFormat/>
    <w:uiPriority w:val="99"/>
    <w:pPr>
      <w:autoSpaceDE w:val="0"/>
      <w:autoSpaceDN w:val="0"/>
      <w:adjustRightInd w:val="0"/>
      <w:jc w:val="left"/>
    </w:pPr>
    <w:rPr>
      <w:rFonts w:ascii="Times New Roman" w:hAnsi="Times New Roman"/>
      <w:kern w:val="0"/>
      <w:sz w:val="24"/>
      <w:szCs w:val="24"/>
    </w:rPr>
  </w:style>
  <w:style w:type="character" w:customStyle="1" w:styleId="25">
    <w:name w:val="脚注文本 Char"/>
    <w:link w:val="9"/>
    <w:semiHidden/>
    <w:qFormat/>
    <w:locked/>
    <w:uiPriority w:val="99"/>
    <w:rPr>
      <w:rFonts w:cs="Times New Roman"/>
      <w:sz w:val="18"/>
      <w:szCs w:val="18"/>
    </w:rPr>
  </w:style>
  <w:style w:type="character" w:customStyle="1" w:styleId="26">
    <w:name w:val="文档结构图 Char"/>
    <w:link w:val="2"/>
    <w:semiHidden/>
    <w:qFormat/>
    <w:locked/>
    <w:uiPriority w:val="99"/>
    <w:rPr>
      <w:rFonts w:ascii="Times New Roman" w:hAnsi="Times New Roman" w:cs="Times New Roman"/>
      <w:sz w:val="2"/>
    </w:rPr>
  </w:style>
  <w:style w:type="character" w:customStyle="1" w:styleId="27">
    <w:name w:val="批注文字 Char"/>
    <w:basedOn w:val="13"/>
    <w:link w:val="3"/>
    <w:semiHidden/>
    <w:qFormat/>
    <w:uiPriority w:val="99"/>
  </w:style>
  <w:style w:type="character" w:customStyle="1" w:styleId="28">
    <w:name w:val="批注主题 Char"/>
    <w:link w:val="11"/>
    <w:semiHidden/>
    <w:qFormat/>
    <w:uiPriority w:val="99"/>
    <w:rPr>
      <w:b/>
      <w:bCs/>
    </w:rPr>
  </w:style>
  <w:style w:type="paragraph" w:customStyle="1" w:styleId="29">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xlmedtrans</Company>
  <Pages>20</Pages>
  <Words>9405</Words>
  <Characters>10386</Characters>
  <Lines>89</Lines>
  <Paragraphs>25</Paragraphs>
  <TotalTime>177</TotalTime>
  <ScaleCrop>false</ScaleCrop>
  <LinksUpToDate>false</LinksUpToDate>
  <CharactersWithSpaces>10463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2017-11-03T03:04:00Z</dcterms:created>
  <dc:creator>xlmedtrans</dc:creator>
  <cp:lastModifiedBy>太极箫客</cp:lastModifiedBy>
  <dcterms:modified xsi:type="dcterms:W3CDTF">2025-08-14T06:36:48Z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D95559CAC589459CB7664E86B1E12380_12</vt:lpwstr>
  </property>
</Properties>
</file>